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10080"/>
          <w:tab w:val="clear" w:pos="9639"/>
        </w:tabs>
        <w:spacing w:after="120"/>
        <w:ind w:left="1701" w:hanging="1701"/>
        <w:rPr>
          <w:rFonts w:ascii="Arial" w:hAnsi="Arial" w:eastAsia="宋体" w:cs="Arial"/>
          <w:szCs w:val="24"/>
          <w:lang w:val="en-US"/>
        </w:rPr>
      </w:pPr>
      <w:bookmarkStart w:id="0" w:name="OLE_LINK138"/>
      <w:bookmarkStart w:id="1" w:name="OLE_LINK137"/>
      <w:r>
        <w:rPr>
          <w:rFonts w:hint="eastAsia" w:ascii="Arial" w:hAnsi="Arial"/>
          <w:bCs/>
          <w:lang w:val="en-US"/>
        </w:rPr>
        <w:t xml:space="preserve">3GPP TSG-RAN WG2 Meeting NR Ad hoc 1801 </w:t>
      </w:r>
      <w:r>
        <w:rPr>
          <w:rFonts w:ascii="Arial" w:hAnsi="Arial" w:cs="Arial"/>
          <w:szCs w:val="24"/>
          <w:lang w:val="en-US"/>
        </w:rPr>
        <w:tab/>
      </w:r>
      <w:r>
        <w:rPr>
          <w:rFonts w:hint="eastAsia" w:ascii="Arial" w:hAnsi="Arial" w:cs="Arial"/>
          <w:szCs w:val="24"/>
          <w:lang w:val="en-US"/>
        </w:rPr>
        <w:t>R2-1801497</w:t>
      </w:r>
    </w:p>
    <w:p>
      <w:pPr>
        <w:tabs>
          <w:tab w:val="left" w:pos="1985"/>
        </w:tabs>
        <w:spacing w:before="120" w:after="0"/>
        <w:ind w:left="1980" w:hanging="1980"/>
        <w:rPr>
          <w:rFonts w:ascii="Arial" w:hAnsi="Arial"/>
          <w:b/>
          <w:bCs/>
          <w:sz w:val="24"/>
          <w:lang w:val="en-US"/>
        </w:rPr>
      </w:pPr>
      <w:r>
        <w:rPr>
          <w:rFonts w:hint="eastAsia" w:ascii="Arial" w:hAnsi="Arial"/>
          <w:b/>
          <w:bCs/>
          <w:sz w:val="24"/>
          <w:lang w:val="en-US"/>
        </w:rPr>
        <w:t>Vancouver, Canada, 22nd January – 26th January 2018</w:t>
      </w:r>
    </w:p>
    <w:p>
      <w:pPr>
        <w:pStyle w:val="30"/>
        <w:rPr>
          <w:rFonts w:ascii="Arial" w:hAnsi="Arial" w:cs="Arial"/>
          <w:szCs w:val="24"/>
          <w:lang w:val="en-US"/>
        </w:rPr>
      </w:pPr>
    </w:p>
    <w:p>
      <w:pPr>
        <w:pStyle w:val="30"/>
        <w:rPr>
          <w:rFonts w:ascii="Arial" w:hAnsi="Arial" w:eastAsia="宋体" w:cs="Arial"/>
          <w:szCs w:val="24"/>
          <w:lang w:val="en-US"/>
        </w:rPr>
      </w:pPr>
      <w:r>
        <w:rPr>
          <w:rFonts w:ascii="Arial" w:hAnsi="Arial" w:cs="Arial"/>
          <w:szCs w:val="24"/>
          <w:lang w:val="en-US"/>
        </w:rPr>
        <w:t>Agenda Item:</w:t>
      </w:r>
      <w:r>
        <w:rPr>
          <w:rFonts w:ascii="Arial" w:hAnsi="Arial" w:cs="Arial"/>
          <w:szCs w:val="24"/>
          <w:lang w:val="en-US"/>
        </w:rPr>
        <w:tab/>
      </w:r>
      <w:r>
        <w:rPr>
          <w:rFonts w:hint="eastAsia" w:ascii="Arial" w:hAnsi="Arial" w:eastAsia="宋体" w:cs="Arial"/>
          <w:szCs w:val="24"/>
          <w:lang w:val="en-US"/>
        </w:rPr>
        <w:t>10.4.3.2</w:t>
      </w:r>
    </w:p>
    <w:p>
      <w:pPr>
        <w:pStyle w:val="3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r>
      <w:r>
        <w:rPr>
          <w:rFonts w:hint="eastAsia" w:ascii="Arial" w:hAnsi="Arial" w:cs="Arial"/>
          <w:bCs/>
          <w:lang w:val="en-US"/>
        </w:rPr>
        <w:t>ZTE, Sanechips</w:t>
      </w:r>
    </w:p>
    <w:p>
      <w:pPr>
        <w:pStyle w:val="29"/>
        <w:tabs>
          <w:tab w:val="left" w:pos="1701"/>
        </w:tabs>
        <w:rPr>
          <w:rFonts w:eastAsia="宋体"/>
          <w:b/>
          <w:sz w:val="24"/>
        </w:rPr>
      </w:pPr>
      <w:r>
        <w:rPr>
          <w:b/>
          <w:sz w:val="24"/>
        </w:rPr>
        <w:t xml:space="preserve">Title:  </w:t>
      </w:r>
      <w:r>
        <w:rPr>
          <w:b/>
          <w:sz w:val="24"/>
        </w:rPr>
        <w:tab/>
      </w:r>
      <w:bookmarkStart w:id="2" w:name="OLE_LINK7"/>
      <w:r>
        <w:rPr>
          <w:rFonts w:hint="eastAsia"/>
          <w:b/>
          <w:sz w:val="24"/>
        </w:rPr>
        <w:t>Discussion on the configuration of IE keyToUse (RILNo Z066)</w:t>
      </w:r>
    </w:p>
    <w:bookmarkEnd w:id="2"/>
    <w:p>
      <w:pPr>
        <w:pStyle w:val="29"/>
        <w:tabs>
          <w:tab w:val="left" w:pos="1701"/>
        </w:tabs>
        <w:rPr>
          <w:rFonts w:eastAsia="宋体"/>
          <w:b/>
          <w:sz w:val="24"/>
        </w:rPr>
      </w:pPr>
    </w:p>
    <w:p>
      <w:pPr>
        <w:pStyle w:val="30"/>
        <w:rPr>
          <w:rFonts w:ascii="Arial" w:hAnsi="Arial" w:cs="Arial"/>
          <w:szCs w:val="24"/>
          <w:lang w:val="en-US"/>
        </w:rPr>
      </w:pPr>
      <w:r>
        <w:rPr>
          <w:rFonts w:ascii="Arial" w:hAnsi="Arial" w:cs="Arial"/>
          <w:szCs w:val="24"/>
          <w:lang w:val="en-US"/>
        </w:rPr>
        <w:t>Document for:</w:t>
      </w:r>
      <w:r>
        <w:rPr>
          <w:rFonts w:ascii="Arial" w:hAnsi="Arial" w:cs="Arial"/>
          <w:szCs w:val="24"/>
          <w:lang w:val="en-US"/>
        </w:rPr>
        <w:tab/>
      </w:r>
      <w:r>
        <w:rPr>
          <w:rFonts w:ascii="Arial" w:hAnsi="Arial" w:cs="Arial"/>
          <w:szCs w:val="24"/>
          <w:lang w:val="en-US"/>
        </w:rPr>
        <w:t>Discussion and decision</w:t>
      </w:r>
    </w:p>
    <w:p>
      <w:pPr>
        <w:pStyle w:val="2"/>
        <w:pBdr>
          <w:top w:val="single" w:color="auto" w:sz="12" w:space="2"/>
        </w:pBdr>
        <w:rPr>
          <w:rFonts w:eastAsia="PMingLiU"/>
          <w:lang w:val="en-US"/>
        </w:rPr>
      </w:pPr>
      <w:r>
        <w:rPr>
          <w:rFonts w:eastAsia="PMingLiU"/>
          <w:lang w:val="en-US"/>
        </w:rPr>
        <w:t>Introduction</w:t>
      </w:r>
    </w:p>
    <w:p>
      <w:pPr>
        <w:rPr>
          <w:rFonts w:eastAsia="宋体"/>
          <w:lang w:val="en-US"/>
        </w:rPr>
      </w:pPr>
      <w:r>
        <w:rPr>
          <w:rFonts w:hint="eastAsia" w:eastAsia="宋体"/>
          <w:lang w:val="en-US"/>
        </w:rPr>
        <w:t>The intention of this contribution is to clarify the usage and configuration of IE keyToUse.</w:t>
      </w:r>
    </w:p>
    <w:p>
      <w:pPr>
        <w:rPr>
          <w:rFonts w:eastAsia="宋体"/>
        </w:rPr>
      </w:pPr>
    </w:p>
    <w:p>
      <w:pPr>
        <w:pStyle w:val="2"/>
        <w:rPr>
          <w:rFonts w:eastAsia="PMingLiU"/>
          <w:lang w:val="en-US"/>
        </w:rPr>
      </w:pPr>
      <w:bookmarkStart w:id="3" w:name="OLE_LINK16"/>
      <w:bookmarkStart w:id="4" w:name="OLE_LINK17"/>
      <w:bookmarkStart w:id="5" w:name="OLE_LINK24"/>
      <w:bookmarkStart w:id="6" w:name="OLE_LINK41"/>
      <w:r>
        <w:rPr>
          <w:rFonts w:hint="eastAsia" w:eastAsia="PMingLiU"/>
          <w:lang w:val="en-US"/>
        </w:rPr>
        <w:t>Consideration on the SCG S</w:t>
      </w:r>
      <w:r>
        <w:rPr>
          <w:rFonts w:eastAsia="PMingLiU"/>
          <w:lang w:val="en-US"/>
        </w:rPr>
        <w:t>p</w:t>
      </w:r>
      <w:r>
        <w:rPr>
          <w:rFonts w:hint="eastAsia" w:eastAsia="PMingLiU"/>
          <w:lang w:val="en-US"/>
        </w:rPr>
        <w:t>lit bearer</w:t>
      </w:r>
    </w:p>
    <w:p>
      <w:pPr>
        <w:rPr>
          <w:rFonts w:eastAsia="宋体"/>
          <w:lang w:val="en-US"/>
        </w:rPr>
      </w:pPr>
      <w:r>
        <w:rPr>
          <w:rFonts w:hint="eastAsia" w:eastAsia="宋体"/>
          <w:lang w:val="en-US"/>
        </w:rPr>
        <w:t xml:space="preserve">The </w:t>
      </w:r>
      <w:r>
        <w:rPr>
          <w:rFonts w:eastAsia="宋体"/>
          <w:lang w:val="en-US"/>
        </w:rPr>
        <w:t>description</w:t>
      </w:r>
      <w:r>
        <w:rPr>
          <w:rFonts w:hint="eastAsia" w:eastAsia="宋体"/>
          <w:lang w:val="en-US"/>
        </w:rPr>
        <w:t xml:space="preserve"> of IE keyToUse in the ASN.1 can be found as follow:</w:t>
      </w:r>
    </w:p>
    <w:p>
      <w:pPr>
        <w:rPr>
          <w:rFonts w:eastAsia="宋体"/>
        </w:rPr>
      </w:pPr>
      <w:r>
        <w:rPr>
          <w:rFonts w:hint="eastAsia" w:eastAsia="宋体"/>
        </w:rPr>
        <w:t>--</w:t>
      </w:r>
      <w:r>
        <w:rPr>
          <w:rFonts w:eastAsia="宋体"/>
        </w:rPr>
        <w:t xml:space="preserve">--------------------------------------------- From 38.331 </w:t>
      </w:r>
      <w:r>
        <w:rPr>
          <w:rFonts w:hint="eastAsia" w:eastAsia="宋体"/>
          <w:lang w:val="en-US"/>
        </w:rPr>
        <w:t>start</w:t>
      </w:r>
      <w:r>
        <w:rPr>
          <w:rFonts w:eastAsia="宋体"/>
        </w:rPr>
        <w:t>--------------------------------------------------</w:t>
      </w:r>
    </w:p>
    <w:p>
      <w:pPr>
        <w:pStyle w:val="5"/>
      </w:pPr>
      <w:bookmarkStart w:id="7" w:name="_Toc500942743"/>
      <w:bookmarkStart w:id="8" w:name="_Toc501138314"/>
      <w:r>
        <w:t>–</w:t>
      </w:r>
      <w:r>
        <w:tab/>
      </w:r>
      <w:r>
        <w:rPr>
          <w:i/>
        </w:rPr>
        <w:t>RadioBearerConfig</w:t>
      </w:r>
      <w:bookmarkEnd w:id="7"/>
      <w:bookmarkEnd w:id="8"/>
    </w:p>
    <w:p>
      <w:r>
        <w:t xml:space="preserve">The IE </w:t>
      </w:r>
      <w:r>
        <w:rPr>
          <w:i/>
        </w:rPr>
        <w:t xml:space="preserve">RadioBearerConfig </w:t>
      </w:r>
      <w:r>
        <w:t>is used to add, modify and release signalling- and/or data radio bearers. Specifically, this IE carries the parameters for PDCP and, if applicable, SDAP entities for the radio bearers.</w:t>
      </w:r>
    </w:p>
    <w:p>
      <w:pPr>
        <w:pStyle w:val="24"/>
      </w:pPr>
      <w:r>
        <w:rPr>
          <w:i/>
          <w:iCs/>
        </w:rPr>
        <w:t xml:space="preserve">RadioBearerConfig </w:t>
      </w:r>
      <w:r>
        <w:t>information element</w:t>
      </w:r>
    </w:p>
    <w:p>
      <w:pPr>
        <w:pStyle w:val="37"/>
        <w:rPr>
          <w:color w:val="808080"/>
        </w:rPr>
      </w:pPr>
      <w:r>
        <w:rPr>
          <w:color w:val="808080"/>
        </w:rPr>
        <w:t>-- ASN1START</w:t>
      </w:r>
    </w:p>
    <w:p>
      <w:pPr>
        <w:pStyle w:val="37"/>
        <w:rPr>
          <w:color w:val="808080"/>
        </w:rPr>
      </w:pPr>
      <w:r>
        <w:rPr>
          <w:color w:val="808080"/>
        </w:rPr>
        <w:t>-- TAG-RADIO-BEARER-CONFIG-START</w:t>
      </w:r>
    </w:p>
    <w:p>
      <w:pPr>
        <w:pStyle w:val="37"/>
      </w:pPr>
    </w:p>
    <w:p>
      <w:pPr>
        <w:pStyle w:val="37"/>
      </w:pPr>
      <w:r>
        <w:t>RadioBearerConfig ::=</w:t>
      </w:r>
      <w:r>
        <w:tab/>
      </w:r>
      <w:r>
        <w:tab/>
      </w:r>
      <w:r>
        <w:tab/>
      </w:r>
      <w:r>
        <w:tab/>
      </w:r>
      <w:r>
        <w:tab/>
      </w:r>
      <w:r>
        <w:rPr>
          <w:color w:val="993366"/>
        </w:rPr>
        <w:t>SEQUENCE</w:t>
      </w:r>
      <w:r>
        <w:t xml:space="preserve"> {</w:t>
      </w:r>
    </w:p>
    <w:p>
      <w:pPr>
        <w:pStyle w:val="37"/>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SRB-ToAddModList</w:t>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rPr>
      </w:pPr>
      <w:r>
        <w:tab/>
      </w:r>
      <w:r>
        <w:t>drb-</w:t>
      </w:r>
      <w:r>
        <w:rPr>
          <w:snapToGrid w:val="0"/>
        </w:rPr>
        <w:t>ToAddMod</w:t>
      </w:r>
      <w:r>
        <w:t>List</w:t>
      </w:r>
      <w:r>
        <w:tab/>
      </w:r>
      <w:r>
        <w:tab/>
      </w:r>
      <w:r>
        <w:tab/>
      </w:r>
      <w:r>
        <w:tab/>
      </w:r>
      <w:r>
        <w:tab/>
      </w:r>
      <w:r>
        <w:tab/>
      </w:r>
      <w:r>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rPr>
      </w:pPr>
      <w:r>
        <w:tab/>
      </w:r>
      <w:r>
        <w:t>drb-</w:t>
      </w:r>
      <w:r>
        <w:rPr>
          <w:snapToGrid w:val="0"/>
        </w:rPr>
        <w:t>ToRelease</w:t>
      </w:r>
      <w:r>
        <w:t>List</w:t>
      </w:r>
      <w:r>
        <w:tab/>
      </w:r>
      <w:r>
        <w:tab/>
      </w:r>
      <w:r>
        <w:tab/>
      </w:r>
      <w:r>
        <w:tab/>
      </w:r>
      <w:r>
        <w:tab/>
      </w:r>
      <w:r>
        <w:tab/>
      </w:r>
      <w:r>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highlight w:val="yellow"/>
        </w:rPr>
      </w:pPr>
      <w:r>
        <w:rPr>
          <w:highlight w:val="yellow"/>
        </w:rPr>
        <w:tab/>
      </w:r>
      <w:r>
        <w:rPr>
          <w:highlight w:val="yellow"/>
        </w:rPr>
        <w:t xml:space="preserve">securityConfig </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SecurityConfig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 xml:space="preserve">  </w:t>
      </w:r>
      <w:r>
        <w:rPr>
          <w:color w:val="808080"/>
          <w:highlight w:val="yellow"/>
        </w:rPr>
        <w:t>-- Cond KeyChange</w:t>
      </w:r>
    </w:p>
    <w:p>
      <w:pPr>
        <w:pStyle w:val="37"/>
      </w:pPr>
      <w:r>
        <w:t>}</w:t>
      </w:r>
    </w:p>
    <w:p>
      <w:pPr>
        <w:pStyle w:val="37"/>
      </w:pPr>
    </w:p>
    <w:p>
      <w:pPr>
        <w:pStyle w:val="37"/>
      </w:pPr>
      <w:r>
        <w:t>SRB-ToAddModList ::=</w:t>
      </w:r>
      <w:r>
        <w:tab/>
      </w:r>
      <w:r>
        <w:tab/>
      </w:r>
      <w:r>
        <w:tab/>
      </w:r>
      <w:r>
        <w:tab/>
      </w:r>
      <w:r>
        <w:tab/>
      </w:r>
      <w:r>
        <w:rPr>
          <w:color w:val="993366"/>
        </w:rPr>
        <w:t>SEQUENCE</w:t>
      </w:r>
      <w:r>
        <w:t xml:space="preserve"> (</w:t>
      </w:r>
      <w:r>
        <w:rPr>
          <w:color w:val="993366"/>
        </w:rPr>
        <w:t>SIZE</w:t>
      </w:r>
      <w:r>
        <w:t xml:space="preserve"> (1..2))</w:t>
      </w:r>
      <w:r>
        <w:rPr>
          <w:color w:val="993366"/>
        </w:rPr>
        <w:t xml:space="preserve"> OF</w:t>
      </w:r>
      <w:r>
        <w:t xml:space="preserve"> SRB-ToAddMod</w:t>
      </w:r>
    </w:p>
    <w:p>
      <w:pPr>
        <w:pStyle w:val="37"/>
      </w:pPr>
      <w:r>
        <w:t>SRB-ToAddMod ::=</w:t>
      </w:r>
      <w:r>
        <w:tab/>
      </w:r>
      <w:r>
        <w:tab/>
      </w:r>
      <w:r>
        <w:tab/>
      </w:r>
      <w:r>
        <w:tab/>
      </w:r>
      <w:r>
        <w:tab/>
      </w:r>
      <w:r>
        <w:tab/>
      </w:r>
      <w:r>
        <w:rPr>
          <w:color w:val="993366"/>
        </w:rPr>
        <w:t>SEQUENCE</w:t>
      </w:r>
      <w:r>
        <w:t xml:space="preserve"> {</w:t>
      </w:r>
    </w:p>
    <w:p>
      <w:pPr>
        <w:pStyle w:val="37"/>
      </w:pPr>
      <w:r>
        <w:tab/>
      </w:r>
      <w:r>
        <w:t>srb-Identity</w:t>
      </w:r>
      <w:r>
        <w:tab/>
      </w:r>
      <w:r>
        <w:tab/>
      </w:r>
      <w:r>
        <w:tab/>
      </w:r>
      <w:r>
        <w:tab/>
      </w:r>
      <w:r>
        <w:tab/>
      </w:r>
      <w:r>
        <w:tab/>
      </w:r>
      <w:r>
        <w:tab/>
      </w:r>
      <w:r>
        <w:t>SRB-Identity,</w:t>
      </w:r>
    </w:p>
    <w:p>
      <w:pPr>
        <w:pStyle w:val="37"/>
      </w:pPr>
    </w:p>
    <w:p>
      <w:pPr>
        <w:pStyle w:val="37"/>
        <w:rPr>
          <w:color w:val="808080"/>
        </w:rPr>
      </w:pPr>
      <w:r>
        <w:tab/>
      </w:r>
      <w:r>
        <w:rPr>
          <w:color w:val="808080"/>
        </w:rPr>
        <w:t>-- may only be set if the cell groups of all linked logical channels are reset or released</w:t>
      </w:r>
    </w:p>
    <w:p>
      <w:pPr>
        <w:pStyle w:val="37"/>
        <w:rPr>
          <w:color w:val="808080"/>
        </w:rPr>
      </w:pPr>
      <w:r>
        <w:tab/>
      </w:r>
      <w:r>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Cond KeyChange</w:t>
      </w:r>
    </w:p>
    <w:p>
      <w:pPr>
        <w:pStyle w:val="37"/>
        <w:rPr>
          <w:color w:val="808080"/>
        </w:rPr>
      </w:pPr>
      <w:r>
        <w:tab/>
      </w:r>
      <w:r>
        <w:t>pdcp-Config</w:t>
      </w:r>
      <w:r>
        <w:tab/>
      </w:r>
      <w:r>
        <w:tab/>
      </w:r>
      <w:r>
        <w:tab/>
      </w:r>
      <w:r>
        <w:tab/>
      </w:r>
      <w:r>
        <w:tab/>
      </w:r>
      <w:r>
        <w:tab/>
      </w:r>
      <w:r>
        <w:tab/>
      </w:r>
      <w:r>
        <w:tab/>
      </w:r>
      <w:r>
        <w:t>PDCP-Config</w:t>
      </w:r>
      <w:r>
        <w:tab/>
      </w:r>
      <w:r>
        <w:tab/>
      </w:r>
      <w:r>
        <w:tab/>
      </w:r>
      <w:r>
        <w:tab/>
      </w:r>
      <w:r>
        <w:tab/>
      </w:r>
      <w:r>
        <w:tab/>
      </w:r>
      <w:r>
        <w:tab/>
      </w:r>
      <w:r>
        <w:tab/>
      </w:r>
      <w:r>
        <w:tab/>
      </w:r>
      <w:r>
        <w:tab/>
      </w:r>
      <w:r>
        <w:tab/>
      </w:r>
      <w:r>
        <w:tab/>
      </w:r>
      <w:r>
        <w:rPr>
          <w:color w:val="993366"/>
        </w:rPr>
        <w:t>OPTIONAL</w:t>
      </w:r>
      <w:r>
        <w:t>,</w:t>
      </w:r>
      <w:r>
        <w:tab/>
      </w:r>
      <w:r>
        <w:tab/>
      </w:r>
      <w:r>
        <w:rPr>
          <w:color w:val="808080"/>
        </w:rPr>
        <w:t>-- Cond PDCP</w:t>
      </w:r>
    </w:p>
    <w:p>
      <w:pPr>
        <w:pStyle w:val="37"/>
      </w:pPr>
      <w:r>
        <w:tab/>
      </w:r>
      <w:r>
        <w:t>...</w:t>
      </w:r>
    </w:p>
    <w:p>
      <w:pPr>
        <w:pStyle w:val="37"/>
      </w:pPr>
      <w:r>
        <w:t>}</w:t>
      </w:r>
    </w:p>
    <w:p>
      <w:pPr>
        <w:pStyle w:val="37"/>
      </w:pPr>
    </w:p>
    <w:p>
      <w:pPr>
        <w:pStyle w:val="37"/>
      </w:pPr>
    </w:p>
    <w:p>
      <w:pPr>
        <w:pStyle w:val="37"/>
      </w:pPr>
      <w:r>
        <w:t>DRB-ToAddModList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DRB-ToAddMod</w:t>
      </w:r>
    </w:p>
    <w:p>
      <w:pPr>
        <w:pStyle w:val="37"/>
      </w:pPr>
      <w:r>
        <w:t>DRB-ToAddMod ::=</w:t>
      </w:r>
      <w:r>
        <w:tab/>
      </w:r>
      <w:r>
        <w:tab/>
      </w:r>
      <w:r>
        <w:tab/>
      </w:r>
      <w:r>
        <w:tab/>
      </w:r>
      <w:r>
        <w:tab/>
      </w:r>
      <w:r>
        <w:tab/>
      </w:r>
      <w:r>
        <w:rPr>
          <w:color w:val="993366"/>
        </w:rPr>
        <w:t>SEQUENCE</w:t>
      </w:r>
      <w:r>
        <w:t xml:space="preserve"> {</w:t>
      </w:r>
    </w:p>
    <w:p>
      <w:pPr>
        <w:pStyle w:val="37"/>
      </w:pPr>
      <w:r>
        <w:tab/>
      </w:r>
      <w:r>
        <w:t>cnAssociation</w:t>
      </w:r>
      <w:r>
        <w:tab/>
      </w:r>
      <w:r>
        <w:tab/>
      </w:r>
      <w:r>
        <w:tab/>
      </w:r>
      <w:r>
        <w:tab/>
      </w:r>
      <w:r>
        <w:tab/>
      </w:r>
      <w:r>
        <w:tab/>
      </w:r>
      <w:r>
        <w:tab/>
      </w:r>
      <w:r>
        <w:rPr>
          <w:color w:val="993366"/>
        </w:rPr>
        <w:t>CHOICE</w:t>
      </w:r>
      <w:r>
        <w:t xml:space="preserve"> {</w:t>
      </w:r>
    </w:p>
    <w:p>
      <w:pPr>
        <w:pStyle w:val="37"/>
        <w:rPr>
          <w:color w:val="808080"/>
        </w:rPr>
      </w:pPr>
      <w:r>
        <w:tab/>
      </w:r>
      <w:r>
        <w:tab/>
      </w:r>
      <w:r>
        <w:rPr>
          <w:color w:val="808080"/>
        </w:rPr>
        <w:t>-- The EPS bearer ID determines the EPS bearer when NR connects to EPC using EN-DC</w:t>
      </w:r>
    </w:p>
    <w:p>
      <w:pPr>
        <w:pStyle w:val="37"/>
        <w:rPr>
          <w:color w:val="808080"/>
        </w:rPr>
      </w:pPr>
      <w:r>
        <w:tab/>
      </w:r>
      <w:r>
        <w:tab/>
      </w:r>
      <w:r>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pPr>
        <w:pStyle w:val="37"/>
        <w:rPr>
          <w:color w:val="808080"/>
        </w:rPr>
      </w:pPr>
      <w:r>
        <w:tab/>
      </w:r>
      <w:r>
        <w:tab/>
      </w:r>
      <w:r>
        <w:rPr>
          <w:color w:val="808080"/>
        </w:rPr>
        <w:t>--</w:t>
      </w:r>
      <w:r>
        <w:rPr>
          <w:color w:val="808080"/>
        </w:rPr>
        <w:tab/>
      </w:r>
      <w:r>
        <w:rPr>
          <w:color w:val="808080"/>
        </w:rPr>
        <w:t>The SDAP configuration determines how to map QoS flows to DRBs when NR connects to the 5GC</w:t>
      </w:r>
    </w:p>
    <w:p>
      <w:pPr>
        <w:pStyle w:val="37"/>
        <w:rPr>
          <w:color w:val="808080"/>
        </w:rPr>
      </w:pPr>
      <w:r>
        <w:tab/>
      </w:r>
      <w:r>
        <w:tab/>
      </w:r>
      <w:r>
        <w:t>sdap-Config</w:t>
      </w:r>
      <w:r>
        <w:tab/>
      </w:r>
      <w:r>
        <w:tab/>
      </w:r>
      <w:r>
        <w:tab/>
      </w:r>
      <w:r>
        <w:tab/>
      </w:r>
      <w:r>
        <w:tab/>
      </w:r>
      <w:r>
        <w:tab/>
      </w:r>
      <w:r>
        <w:tab/>
      </w:r>
      <w:r>
        <w:tab/>
      </w:r>
      <w:r>
        <w:t>SDAP-Config</w:t>
      </w:r>
      <w:r>
        <w:tab/>
      </w:r>
      <w:r>
        <w:tab/>
      </w:r>
      <w:r>
        <w:tab/>
      </w:r>
      <w:r>
        <w:tab/>
      </w:r>
      <w:r>
        <w:tab/>
      </w:r>
      <w:r>
        <w:tab/>
      </w:r>
      <w:r>
        <w:tab/>
      </w:r>
      <w:r>
        <w:tab/>
      </w:r>
      <w:r>
        <w:tab/>
      </w:r>
      <w:r>
        <w:tab/>
      </w:r>
      <w:r>
        <w:tab/>
      </w:r>
      <w:r>
        <w:tab/>
      </w:r>
      <w:r>
        <w:tab/>
      </w:r>
      <w:r>
        <w:rPr>
          <w:color w:val="808080"/>
        </w:rPr>
        <w:t>-- NGC</w:t>
      </w:r>
    </w:p>
    <w:p>
      <w:pPr>
        <w:pStyle w:val="37"/>
      </w:pPr>
      <w:r>
        <w:tab/>
      </w:r>
      <w:r>
        <w:t>},</w:t>
      </w:r>
    </w:p>
    <w:p>
      <w:pPr>
        <w:pStyle w:val="37"/>
      </w:pPr>
      <w:r>
        <w:tab/>
      </w:r>
      <w:r>
        <w:t>drb-Identity</w:t>
      </w:r>
      <w:r>
        <w:tab/>
      </w:r>
      <w:r>
        <w:tab/>
      </w:r>
      <w:r>
        <w:tab/>
      </w:r>
      <w:r>
        <w:tab/>
      </w:r>
      <w:r>
        <w:tab/>
      </w:r>
      <w:r>
        <w:tab/>
      </w:r>
      <w:r>
        <w:tab/>
      </w:r>
      <w:r>
        <w:t>DRB-Identity,</w:t>
      </w:r>
    </w:p>
    <w:p>
      <w:pPr>
        <w:pStyle w:val="37"/>
      </w:pPr>
    </w:p>
    <w:p>
      <w:pPr>
        <w:pStyle w:val="37"/>
        <w:rPr>
          <w:color w:val="808080"/>
        </w:rPr>
      </w:pPr>
      <w:r>
        <w:tab/>
      </w:r>
      <w:r>
        <w:rPr>
          <w:color w:val="808080"/>
        </w:rPr>
        <w:t>-- may only be set if the cell groups of all linked logical channels are reset or released</w:t>
      </w:r>
    </w:p>
    <w:p>
      <w:pPr>
        <w:pStyle w:val="37"/>
        <w:rPr>
          <w:color w:val="808080"/>
        </w:rPr>
      </w:pPr>
      <w:r>
        <w:tab/>
      </w:r>
      <w:r>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Cond HO</w:t>
      </w:r>
    </w:p>
    <w:p>
      <w:pPr>
        <w:pStyle w:val="37"/>
        <w:rPr>
          <w:color w:val="808080"/>
        </w:rPr>
      </w:pPr>
      <w:r>
        <w:tab/>
      </w:r>
      <w:r>
        <w:t>recoverPDCP</w:t>
      </w:r>
      <w:r>
        <w:tab/>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pPr>
        <w:pStyle w:val="37"/>
        <w:rPr>
          <w:color w:val="808080"/>
        </w:rPr>
      </w:pPr>
      <w:r>
        <w:tab/>
      </w:r>
      <w:r>
        <w:t>pdcp-Config</w:t>
      </w:r>
      <w:r>
        <w:tab/>
      </w:r>
      <w:r>
        <w:tab/>
      </w:r>
      <w:r>
        <w:tab/>
      </w:r>
      <w:r>
        <w:tab/>
      </w:r>
      <w:r>
        <w:tab/>
      </w:r>
      <w:r>
        <w:tab/>
      </w:r>
      <w:r>
        <w:tab/>
      </w:r>
      <w:r>
        <w:tab/>
      </w:r>
      <w:r>
        <w:t>PDCP-Config</w:t>
      </w:r>
      <w:r>
        <w:tab/>
      </w:r>
      <w:r>
        <w:tab/>
      </w:r>
      <w:r>
        <w:tab/>
      </w:r>
      <w:r>
        <w:tab/>
      </w:r>
      <w:r>
        <w:tab/>
      </w:r>
      <w:r>
        <w:tab/>
      </w:r>
      <w:r>
        <w:tab/>
      </w:r>
      <w:r>
        <w:tab/>
      </w:r>
      <w:r>
        <w:tab/>
      </w:r>
      <w:r>
        <w:tab/>
      </w:r>
      <w:r>
        <w:tab/>
      </w:r>
      <w:r>
        <w:tab/>
      </w:r>
      <w:r>
        <w:rPr>
          <w:color w:val="993366"/>
        </w:rPr>
        <w:t>OPTIONAL</w:t>
      </w:r>
      <w:r>
        <w:t>,</w:t>
      </w:r>
      <w:r>
        <w:tab/>
      </w:r>
      <w:r>
        <w:tab/>
      </w:r>
      <w:r>
        <w:rPr>
          <w:color w:val="808080"/>
        </w:rPr>
        <w:t>-- Cond PDCP</w:t>
      </w:r>
    </w:p>
    <w:p>
      <w:pPr>
        <w:pStyle w:val="37"/>
      </w:pPr>
      <w:r>
        <w:tab/>
      </w:r>
      <w:r>
        <w:t>...</w:t>
      </w:r>
    </w:p>
    <w:p>
      <w:pPr>
        <w:pStyle w:val="37"/>
      </w:pPr>
      <w:r>
        <w:t>}</w:t>
      </w:r>
    </w:p>
    <w:p>
      <w:pPr>
        <w:pStyle w:val="37"/>
      </w:pPr>
    </w:p>
    <w:p>
      <w:pPr>
        <w:pStyle w:val="37"/>
      </w:pPr>
      <w:r>
        <w:t>DRB-</w:t>
      </w:r>
      <w:r>
        <w:rPr>
          <w:snapToGrid w:val="0"/>
        </w:rPr>
        <w:t>ToRelease</w:t>
      </w:r>
      <w:r>
        <w:t>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DRB-Identity</w:t>
      </w:r>
    </w:p>
    <w:p>
      <w:pPr>
        <w:pStyle w:val="37"/>
      </w:pPr>
    </w:p>
    <w:p>
      <w:pPr>
        <w:pStyle w:val="37"/>
      </w:pPr>
    </w:p>
    <w:p>
      <w:pPr>
        <w:pStyle w:val="37"/>
      </w:pPr>
      <w:r>
        <w:t>SecurityConfig ::=</w:t>
      </w:r>
      <w:r>
        <w:tab/>
      </w:r>
      <w:r>
        <w:tab/>
      </w:r>
      <w:r>
        <w:tab/>
      </w:r>
      <w:r>
        <w:tab/>
      </w:r>
      <w:r>
        <w:tab/>
      </w:r>
      <w:r>
        <w:tab/>
      </w:r>
      <w:r>
        <w:rPr>
          <w:color w:val="993366"/>
        </w:rPr>
        <w:t>SEQUENCE</w:t>
      </w:r>
      <w:r>
        <w:t xml:space="preserve"> {</w:t>
      </w:r>
      <w:r>
        <w:tab/>
      </w:r>
    </w:p>
    <w:p>
      <w:pPr>
        <w:pStyle w:val="37"/>
        <w:rPr>
          <w:color w:val="808080"/>
        </w:rPr>
      </w:pPr>
      <w:r>
        <w:tab/>
      </w:r>
      <w:r>
        <w:t>securityAlgorithmConfig</w:t>
      </w:r>
      <w:r>
        <w:tab/>
      </w:r>
      <w:r>
        <w:tab/>
      </w:r>
      <w:r>
        <w:tab/>
      </w:r>
      <w:r>
        <w:tab/>
      </w:r>
      <w:r>
        <w:tab/>
      </w:r>
      <w:r>
        <w:t>SecurityAlgorithmConfig</w:t>
      </w:r>
      <w:r>
        <w:tab/>
      </w:r>
      <w:r>
        <w:tab/>
      </w:r>
      <w:r>
        <w:tab/>
      </w:r>
      <w:bookmarkStart w:id="9" w:name="_GoBack"/>
      <w:bookmarkEnd w:id="9"/>
      <w:r>
        <w:tab/>
      </w:r>
      <w:r>
        <w:tab/>
      </w:r>
      <w:r>
        <w:tab/>
      </w:r>
      <w:r>
        <w:tab/>
      </w:r>
      <w:r>
        <w:tab/>
      </w:r>
      <w:r>
        <w:tab/>
      </w:r>
      <w:r>
        <w:rPr>
          <w:color w:val="993366"/>
        </w:rPr>
        <w:t>OPTIONAL</w:t>
      </w:r>
      <w:r>
        <w:t>,</w:t>
      </w:r>
      <w:r>
        <w:tab/>
      </w:r>
      <w:r>
        <w:rPr>
          <w:color w:val="808080"/>
        </w:rPr>
        <w:t>-- Need M</w:t>
      </w:r>
    </w:p>
    <w:p>
      <w:pPr>
        <w:pStyle w:val="37"/>
        <w:rPr>
          <w:color w:val="808080"/>
          <w:highlight w:val="yellow"/>
        </w:rPr>
      </w:pPr>
      <w:r>
        <w:rPr>
          <w:highlight w:val="yellow"/>
        </w:rPr>
        <w:tab/>
      </w:r>
      <w:r>
        <w:rPr>
          <w:highlight w:val="yellow"/>
        </w:rPr>
        <w:t>keyToUse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ENUMERATED</w:t>
      </w:r>
      <w:r>
        <w:rPr>
          <w:highlight w:val="yellow"/>
        </w:rPr>
        <w:t>{keNB, s-KgNB}</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ab/>
      </w:r>
      <w:r>
        <w:rPr>
          <w:color w:val="808080"/>
          <w:highlight w:val="yellow"/>
        </w:rPr>
        <w:t>-- Need M</w:t>
      </w:r>
    </w:p>
    <w:p>
      <w:pPr>
        <w:pStyle w:val="37"/>
      </w:pPr>
      <w:r>
        <w:tab/>
      </w:r>
      <w:r>
        <w:t>...</w:t>
      </w:r>
    </w:p>
    <w:p>
      <w:pPr>
        <w:pStyle w:val="37"/>
      </w:pPr>
      <w:r>
        <w:t>}</w:t>
      </w:r>
    </w:p>
    <w:p>
      <w:pPr>
        <w:pStyle w:val="37"/>
      </w:pPr>
    </w:p>
    <w:p>
      <w:pPr>
        <w:pStyle w:val="37"/>
        <w:rPr>
          <w:color w:val="808080"/>
        </w:rPr>
      </w:pPr>
      <w:r>
        <w:rPr>
          <w:color w:val="808080"/>
        </w:rPr>
        <w:t>-- TAG-RADIO-BEARER-CONFIG-STOP</w:t>
      </w:r>
    </w:p>
    <w:p>
      <w:pPr>
        <w:pStyle w:val="37"/>
        <w:rPr>
          <w:color w:val="808080"/>
        </w:rPr>
      </w:pPr>
      <w:r>
        <w:rPr>
          <w:color w:val="808080"/>
        </w:rPr>
        <w:t>-- ASN1STOP</w:t>
      </w:r>
    </w:p>
    <w:p>
      <w:pPr>
        <w:rPr>
          <w:rFonts w:eastAsia="宋体"/>
        </w:rPr>
      </w:pPr>
    </w:p>
    <w:tbl>
      <w:tblPr>
        <w:tblStyle w:val="22"/>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26"/>
            </w:pPr>
            <w:r>
              <w:rPr>
                <w:i/>
              </w:rPr>
              <w:t xml:space="preserve">RadioBearerConfig </w:t>
            </w:r>
            <w: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27"/>
              <w:rPr>
                <w:b/>
                <w:i/>
              </w:rPr>
            </w:pPr>
            <w:r>
              <w:rPr>
                <w:b/>
                <w:i/>
              </w:rPr>
              <w:t>drb-Identity</w:t>
            </w:r>
          </w:p>
          <w:p>
            <w:pPr>
              <w:pStyle w:val="27"/>
            </w:pPr>
            <w:r>
              <w:t>In case of DC, the DRB identity is unique within the scope of the UE, i.e. an MCG DRB cannot use the same value as a split DRB. For a split DRB the same identity is used for the MCG- and SCG parts of the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27"/>
              <w:rPr>
                <w:b/>
                <w:i/>
              </w:rPr>
            </w:pPr>
            <w:r>
              <w:rPr>
                <w:b/>
                <w:i/>
              </w:rPr>
              <w:t>cnAssociation</w:t>
            </w:r>
          </w:p>
          <w:p>
            <w:pPr>
              <w:pStyle w:val="27"/>
            </w:pPr>
            <w:r>
              <w:t>Indicates if the bearer is associated with the eps-bearerIdentity (when connected to EPC) or sdap-Config (when connected to 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27"/>
              <w:rPr>
                <w:b/>
                <w:i/>
              </w:rPr>
            </w:pPr>
            <w:r>
              <w:rPr>
                <w:b/>
                <w:i/>
              </w:rPr>
              <w:t>keyToUse</w:t>
            </w:r>
          </w:p>
          <w:p>
            <w:pPr>
              <w:pStyle w:val="27"/>
            </w:pPr>
            <w:r>
              <w:t>Indicates if the bearer configured with this list is using KeNB or S-KgNB for deriving ciphering and/or integrity protection keys. Network should not configure SRB1 and SRB2 with S-KeNB and SRB3 with KeNB.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96" w:type="dxa"/>
          </w:tcPr>
          <w:p>
            <w:pPr>
              <w:pStyle w:val="27"/>
              <w:rPr>
                <w:b/>
                <w:i/>
              </w:rPr>
            </w:pPr>
            <w:r>
              <w:rPr>
                <w:b/>
                <w:i/>
              </w:rPr>
              <w:t>srb-Identity</w:t>
            </w:r>
          </w:p>
          <w:p>
            <w:pPr>
              <w:pStyle w:val="27"/>
            </w:pPr>
            <w:r>
              <w:t>Value 1 is applicable for SRB1 only.</w:t>
            </w:r>
          </w:p>
          <w:p>
            <w:pPr>
              <w:pStyle w:val="27"/>
            </w:pPr>
            <w:r>
              <w:t>Value 2 is applicable for SRB2 only.</w:t>
            </w:r>
          </w:p>
          <w:p>
            <w:pPr>
              <w:pStyle w:val="27"/>
              <w:rPr>
                <w:b/>
                <w:i/>
              </w:rPr>
            </w:pPr>
            <w:r>
              <w:t>Value 3 is applicable for SRB3 only.</w:t>
            </w:r>
          </w:p>
        </w:tc>
      </w:tr>
    </w:tbl>
    <w:p>
      <w:pPr>
        <w:rPr>
          <w:rFonts w:eastAsia="宋体"/>
        </w:rPr>
      </w:pPr>
    </w:p>
    <w:tbl>
      <w:tblPr>
        <w:tblStyle w:val="22"/>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6"/>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6" w:type="dxa"/>
          </w:tcPr>
          <w:p>
            <w:pPr>
              <w:pStyle w:val="26"/>
            </w:pPr>
            <w:r>
              <w:t>Conditional Presence</w:t>
            </w:r>
          </w:p>
        </w:tc>
        <w:tc>
          <w:tcPr>
            <w:tcW w:w="7370" w:type="dxa"/>
          </w:tcPr>
          <w:p>
            <w:pPr>
              <w:pStyle w:val="26"/>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6" w:type="dxa"/>
          </w:tcPr>
          <w:p>
            <w:pPr>
              <w:pStyle w:val="27"/>
              <w:rPr>
                <w:i/>
                <w:highlight w:val="yellow"/>
              </w:rPr>
            </w:pPr>
            <w:r>
              <w:rPr>
                <w:i/>
                <w:highlight w:val="yellow"/>
              </w:rPr>
              <w:t>KeyChange</w:t>
            </w:r>
          </w:p>
        </w:tc>
        <w:tc>
          <w:tcPr>
            <w:tcW w:w="7370" w:type="dxa"/>
          </w:tcPr>
          <w:p>
            <w:pPr>
              <w:pStyle w:val="27"/>
              <w:rPr>
                <w:highlight w:val="yellow"/>
              </w:rPr>
            </w:pPr>
            <w:r>
              <w:rPr>
                <w:highlight w:val="yellow"/>
              </w:rPr>
              <w:t>The field is mandatory present in case of with key change, otherwise the field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6" w:type="dxa"/>
          </w:tcPr>
          <w:p>
            <w:pPr>
              <w:pStyle w:val="27"/>
              <w:rPr>
                <w:i/>
              </w:rPr>
            </w:pPr>
            <w:r>
              <w:rPr>
                <w:i/>
              </w:rPr>
              <w:t>PDCP</w:t>
            </w:r>
          </w:p>
        </w:tc>
        <w:tc>
          <w:tcPr>
            <w:tcW w:w="7370" w:type="dxa"/>
          </w:tcPr>
          <w:p>
            <w:pPr>
              <w:pStyle w:val="27"/>
            </w:pPr>
            <w:r>
              <w:t>The field is mandatory present if the corresponding DRB is being setup or reconfigured with NR PDCP; otherwise the field is optionally present, need M</w:t>
            </w:r>
          </w:p>
        </w:tc>
      </w:tr>
    </w:tbl>
    <w:p>
      <w:pPr>
        <w:rPr>
          <w:rFonts w:eastAsia="宋体"/>
          <w:lang w:val="en-US"/>
        </w:rPr>
      </w:pPr>
    </w:p>
    <w:p>
      <w:pPr>
        <w:rPr>
          <w:rFonts w:eastAsia="宋体"/>
        </w:rPr>
      </w:pPr>
      <w:r>
        <w:rPr>
          <w:rFonts w:hint="eastAsia" w:eastAsia="宋体"/>
        </w:rPr>
        <w:t>--</w:t>
      </w:r>
      <w:r>
        <w:rPr>
          <w:rFonts w:eastAsia="宋体"/>
        </w:rPr>
        <w:t>-------------------------------------------------------------- From 38.331 end --------------------------------------------------</w:t>
      </w:r>
    </w:p>
    <w:p>
      <w:pPr>
        <w:rPr>
          <w:rFonts w:eastAsia="宋体"/>
          <w:lang w:val="en-US"/>
        </w:rPr>
      </w:pPr>
      <w:r>
        <w:rPr>
          <w:rFonts w:hint="eastAsia" w:eastAsia="宋体"/>
          <w:lang w:val="en-US"/>
        </w:rPr>
        <w:t xml:space="preserve">Based on the definition above, </w:t>
      </w:r>
      <w:r>
        <w:rPr>
          <w:rFonts w:eastAsia="宋体"/>
          <w:lang w:val="en-US"/>
        </w:rPr>
        <w:t>some issues are raised for discussion as follow</w:t>
      </w:r>
      <w:r>
        <w:rPr>
          <w:rFonts w:hint="eastAsia" w:eastAsia="宋体"/>
          <w:lang w:val="en-US"/>
        </w:rPr>
        <w:t>:</w:t>
      </w:r>
    </w:p>
    <w:p>
      <w:pPr>
        <w:rPr>
          <w:rFonts w:eastAsia="宋体"/>
          <w:lang w:val="en-US"/>
        </w:rPr>
      </w:pPr>
    </w:p>
    <w:p>
      <w:pPr>
        <w:rPr>
          <w:rFonts w:eastAsia="宋体"/>
          <w:u w:val="single"/>
          <w:lang w:val="en-US"/>
        </w:rPr>
      </w:pPr>
      <w:r>
        <w:rPr>
          <w:rFonts w:hint="eastAsia" w:eastAsia="宋体"/>
          <w:u w:val="single"/>
          <w:lang w:val="en-US"/>
        </w:rPr>
        <w:t>ISSUE 1: T</w:t>
      </w:r>
      <w:r>
        <w:rPr>
          <w:rFonts w:eastAsia="宋体"/>
          <w:u w:val="single"/>
          <w:lang w:val="en-US"/>
        </w:rPr>
        <w:t>he condition “</w:t>
      </w:r>
      <w:r>
        <w:rPr>
          <w:i/>
          <w:u w:val="single"/>
        </w:rPr>
        <w:t>KeyChange</w:t>
      </w:r>
      <w:r>
        <w:rPr>
          <w:rFonts w:eastAsia="宋体"/>
          <w:u w:val="single"/>
          <w:lang w:val="en-US"/>
        </w:rPr>
        <w:t>”</w:t>
      </w:r>
    </w:p>
    <w:p>
      <w:pPr>
        <w:rPr>
          <w:rFonts w:hint="eastAsia" w:eastAsia="宋体"/>
          <w:lang w:val="en-US" w:eastAsia="zh-CN"/>
        </w:rPr>
      </w:pPr>
      <w:r>
        <w:rPr>
          <w:rFonts w:hint="eastAsia" w:eastAsia="宋体"/>
          <w:lang w:val="en-US"/>
        </w:rPr>
        <w:t xml:space="preserve">The IE </w:t>
      </w:r>
      <w:r>
        <w:rPr>
          <w:rFonts w:eastAsia="宋体"/>
          <w:lang w:val="en-US"/>
        </w:rPr>
        <w:t>“</w:t>
      </w:r>
      <w:r>
        <w:rPr>
          <w:rFonts w:hint="eastAsia" w:eastAsia="宋体"/>
          <w:lang w:val="en-US"/>
        </w:rPr>
        <w:t xml:space="preserve">securityConfig </w:t>
      </w:r>
      <w:r>
        <w:rPr>
          <w:rFonts w:eastAsia="宋体"/>
          <w:lang w:val="en-US"/>
        </w:rPr>
        <w:t>”</w:t>
      </w:r>
      <w:r>
        <w:rPr>
          <w:rFonts w:hint="eastAsia" w:eastAsia="宋体"/>
          <w:lang w:val="en-US"/>
        </w:rPr>
        <w:t xml:space="preserve">, in which </w:t>
      </w:r>
      <w:r>
        <w:rPr>
          <w:rFonts w:hint="eastAsia" w:eastAsia="宋体"/>
          <w:lang w:val="en-US" w:eastAsia="zh-CN"/>
        </w:rPr>
        <w:t xml:space="preserve">IE </w:t>
      </w:r>
      <w:r>
        <w:rPr>
          <w:rFonts w:hint="eastAsia" w:eastAsia="宋体"/>
          <w:lang w:val="en-US"/>
        </w:rPr>
        <w:t xml:space="preserve">the </w:t>
      </w:r>
      <w:r>
        <w:rPr>
          <w:rFonts w:eastAsia="宋体"/>
          <w:lang w:val="en-US"/>
        </w:rPr>
        <w:t>“</w:t>
      </w:r>
      <w:r>
        <w:rPr>
          <w:rFonts w:hint="eastAsia" w:eastAsia="宋体"/>
          <w:lang w:val="en-US"/>
        </w:rPr>
        <w:t>keyToUse</w:t>
      </w:r>
      <w:r>
        <w:rPr>
          <w:rFonts w:eastAsia="宋体"/>
          <w:lang w:val="en-US"/>
        </w:rPr>
        <w:t>”</w:t>
      </w:r>
      <w:r>
        <w:rPr>
          <w:rFonts w:hint="eastAsia" w:eastAsia="宋体"/>
          <w:lang w:val="en-US"/>
        </w:rPr>
        <w:t xml:space="preserve"> is included, is marked as conditional “KeyChange” and the explanation for “KeyChange” is that “The field is mandatory present in case of with key change, otherwise the field is not present”. However, the S-K</w:t>
      </w:r>
      <w:r>
        <w:rPr>
          <w:rFonts w:hint="eastAsia" w:eastAsia="宋体"/>
          <w:lang w:val="en-US" w:eastAsia="zh-CN"/>
        </w:rPr>
        <w:t>g</w:t>
      </w:r>
      <w:r>
        <w:rPr>
          <w:rFonts w:hint="eastAsia" w:eastAsia="宋体"/>
          <w:lang w:val="en-US"/>
        </w:rPr>
        <w:t xml:space="preserve">NB may be changed </w:t>
      </w:r>
      <w:r>
        <w:rPr>
          <w:rFonts w:hint="eastAsia" w:eastAsia="宋体"/>
          <w:lang w:val="en-US" w:eastAsia="zh-CN"/>
        </w:rPr>
        <w:t xml:space="preserve">due to the change of </w:t>
      </w:r>
      <w:r>
        <w:rPr>
          <w:rFonts w:hint="eastAsia" w:eastAsia="宋体"/>
          <w:lang w:val="en-US"/>
        </w:rPr>
        <w:t>sk-Counter</w:t>
      </w:r>
      <w:r>
        <w:rPr>
          <w:rFonts w:hint="eastAsia" w:eastAsia="宋体"/>
          <w:lang w:val="en-US" w:eastAsia="zh-CN"/>
        </w:rPr>
        <w:t xml:space="preserve">. In case the sk-Counter is included but the configuration of </w:t>
      </w:r>
      <w:r>
        <w:rPr>
          <w:rFonts w:hint="eastAsia" w:eastAsia="宋体"/>
          <w:lang w:val="en-US"/>
        </w:rPr>
        <w:t>SecurityConfig</w:t>
      </w:r>
      <w:r>
        <w:rPr>
          <w:rFonts w:hint="eastAsia" w:eastAsia="宋体"/>
          <w:lang w:val="en-US" w:eastAsia="zh-CN"/>
        </w:rPr>
        <w:t xml:space="preserve"> is not changed, the S-KgNB will be updated according to the sk-Counter, but the </w:t>
      </w:r>
      <w:r>
        <w:rPr>
          <w:rFonts w:hint="eastAsia" w:eastAsia="宋体"/>
          <w:lang w:val="en-US"/>
        </w:rPr>
        <w:t>SecurityConfig</w:t>
      </w:r>
      <w:r>
        <w:rPr>
          <w:rFonts w:hint="eastAsia" w:eastAsia="宋体"/>
          <w:lang w:val="en-US" w:eastAsia="zh-CN"/>
        </w:rPr>
        <w:t xml:space="preserve"> shall not be required </w:t>
      </w:r>
      <w:r>
        <w:t>mandatory present</w:t>
      </w:r>
      <w:r>
        <w:rPr>
          <w:rFonts w:hint="eastAsia" w:eastAsia="宋体"/>
          <w:lang w:val="en-US" w:eastAsia="zh-CN"/>
        </w:rPr>
        <w:t xml:space="preserve"> </w:t>
      </w:r>
    </w:p>
    <w:p>
      <w:pPr>
        <w:rPr>
          <w:rFonts w:hint="eastAsia" w:eastAsia="宋体"/>
          <w:b/>
          <w:bCs/>
          <w:lang w:val="en-US"/>
        </w:rPr>
      </w:pPr>
      <w:r>
        <w:rPr>
          <w:rFonts w:hint="eastAsia" w:eastAsia="宋体"/>
          <w:b/>
          <w:bCs/>
          <w:lang w:val="en-US"/>
        </w:rPr>
        <w:t xml:space="preserve">Observation 1: </w:t>
      </w:r>
      <w:r>
        <w:rPr>
          <w:rFonts w:hint="eastAsia" w:eastAsia="宋体"/>
          <w:b/>
          <w:bCs/>
          <w:lang w:val="en-US" w:eastAsia="zh-CN"/>
        </w:rPr>
        <w:t xml:space="preserve">In case the sk-Counter is included but the configuration of </w:t>
      </w:r>
      <w:r>
        <w:rPr>
          <w:rFonts w:hint="eastAsia" w:eastAsia="宋体"/>
          <w:b/>
          <w:bCs/>
          <w:lang w:val="en-US"/>
        </w:rPr>
        <w:t>SecurityConfig</w:t>
      </w:r>
      <w:r>
        <w:rPr>
          <w:rFonts w:hint="eastAsia" w:eastAsia="宋体"/>
          <w:b/>
          <w:bCs/>
          <w:lang w:val="en-US" w:eastAsia="zh-CN"/>
        </w:rPr>
        <w:t xml:space="preserve"> is not changed, the S-KgNB will be updated according to the sk-Counter, but the </w:t>
      </w:r>
      <w:r>
        <w:rPr>
          <w:rFonts w:hint="eastAsia" w:eastAsia="宋体"/>
          <w:b/>
          <w:bCs/>
          <w:lang w:val="en-US"/>
        </w:rPr>
        <w:t>SecurityConfig</w:t>
      </w:r>
      <w:r>
        <w:rPr>
          <w:rFonts w:hint="eastAsia" w:eastAsia="宋体"/>
          <w:b/>
          <w:bCs/>
          <w:lang w:val="en-US" w:eastAsia="zh-CN"/>
        </w:rPr>
        <w:t xml:space="preserve"> shall not be required as </w:t>
      </w:r>
      <w:r>
        <w:rPr>
          <w:rFonts w:hint="eastAsia" w:eastAsia="宋体"/>
          <w:b/>
          <w:bCs/>
          <w:lang w:val="en-US"/>
        </w:rPr>
        <w:t>mandatory present</w:t>
      </w:r>
      <w:r>
        <w:rPr>
          <w:rFonts w:hint="eastAsia" w:eastAsia="宋体"/>
          <w:b/>
          <w:bCs/>
          <w:lang w:val="en-US" w:eastAsia="zh-CN"/>
        </w:rPr>
        <w:t xml:space="preserve"> in such case.</w:t>
      </w:r>
    </w:p>
    <w:p>
      <w:pPr>
        <w:rPr>
          <w:rFonts w:hint="eastAsia" w:eastAsia="宋体"/>
          <w:b/>
          <w:bCs/>
          <w:lang w:val="en-US"/>
        </w:rPr>
      </w:pPr>
      <w:r>
        <w:rPr>
          <w:rFonts w:hint="eastAsia" w:eastAsia="宋体"/>
          <w:b/>
          <w:bCs/>
          <w:lang w:val="en-US"/>
        </w:rPr>
        <w:t>Proposal 1: The condition marker “KeyChange” for IE “securityConfig ” should be removed</w:t>
      </w:r>
      <w:r>
        <w:rPr>
          <w:rFonts w:hint="eastAsia" w:eastAsia="宋体"/>
          <w:b/>
          <w:bCs/>
          <w:lang w:val="en-US" w:eastAsia="zh-CN"/>
        </w:rPr>
        <w:t xml:space="preserve">, and the IE </w:t>
      </w:r>
      <w:r>
        <w:rPr>
          <w:rFonts w:hint="eastAsia" w:eastAsia="宋体"/>
          <w:b/>
          <w:bCs/>
          <w:lang w:val="en-US"/>
        </w:rPr>
        <w:t xml:space="preserve">securityConfig </w:t>
      </w:r>
      <w:r>
        <w:rPr>
          <w:rFonts w:hint="eastAsia" w:eastAsia="宋体"/>
          <w:b/>
          <w:bCs/>
          <w:lang w:val="en-US" w:eastAsia="zh-CN"/>
        </w:rPr>
        <w:t>should be marked as Need M.</w:t>
      </w:r>
    </w:p>
    <w:p>
      <w:pPr>
        <w:rPr>
          <w:rFonts w:eastAsia="宋体"/>
        </w:rPr>
      </w:pPr>
    </w:p>
    <w:p>
      <w:pPr>
        <w:rPr>
          <w:rFonts w:eastAsia="宋体"/>
          <w:u w:val="single"/>
        </w:rPr>
      </w:pPr>
      <w:r>
        <w:rPr>
          <w:rFonts w:hint="eastAsia" w:eastAsia="宋体"/>
          <w:u w:val="single"/>
        </w:rPr>
        <w:t xml:space="preserve">ISSUE 2: </w:t>
      </w:r>
      <w:r>
        <w:rPr>
          <w:rFonts w:hint="eastAsia" w:eastAsia="宋体"/>
          <w:u w:val="single"/>
          <w:lang w:val="en-US"/>
        </w:rPr>
        <w:t>V</w:t>
      </w:r>
      <w:r>
        <w:rPr>
          <w:rFonts w:hint="eastAsia" w:eastAsia="宋体"/>
          <w:u w:val="single"/>
        </w:rPr>
        <w:t>alidity che</w:t>
      </w:r>
      <w:r>
        <w:rPr>
          <w:rFonts w:hint="eastAsia" w:eastAsia="宋体"/>
          <w:u w:val="single"/>
          <w:lang w:val="en-US"/>
        </w:rPr>
        <w:t xml:space="preserve">ck on the configuration of IE </w:t>
      </w:r>
      <w:r>
        <w:rPr>
          <w:rFonts w:eastAsia="宋体"/>
          <w:u w:val="single"/>
          <w:lang w:val="en-US"/>
        </w:rPr>
        <w:t>“</w:t>
      </w:r>
      <w:r>
        <w:rPr>
          <w:rFonts w:hint="eastAsia" w:eastAsia="宋体"/>
          <w:u w:val="single"/>
          <w:lang w:val="en-US"/>
        </w:rPr>
        <w:t>keyToUse</w:t>
      </w:r>
      <w:r>
        <w:rPr>
          <w:rFonts w:eastAsia="宋体"/>
          <w:u w:val="single"/>
          <w:lang w:val="en-US"/>
        </w:rPr>
        <w:t>”</w:t>
      </w:r>
    </w:p>
    <w:p>
      <w:pPr>
        <w:rPr>
          <w:rFonts w:eastAsia="宋体"/>
          <w:lang w:val="en-US"/>
        </w:rPr>
      </w:pPr>
      <w:r>
        <w:rPr>
          <w:rFonts w:hint="eastAsia" w:eastAsia="宋体"/>
          <w:lang w:val="en-US"/>
        </w:rPr>
        <w:t xml:space="preserve">The intention of this issue is to clarify whether UE will do any validity check on the configuration of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xml:space="preserve">. Based on the current specs, the </w:t>
      </w:r>
      <w:r>
        <w:rPr>
          <w:rFonts w:eastAsia="宋体"/>
          <w:lang w:val="en-US"/>
        </w:rPr>
        <w:t>“</w:t>
      </w:r>
      <w:r>
        <w:rPr>
          <w:rFonts w:hint="eastAsia" w:eastAsia="宋体"/>
          <w:lang w:val="en-US"/>
        </w:rPr>
        <w:t xml:space="preserve">securityConfig </w:t>
      </w:r>
      <w:r>
        <w:rPr>
          <w:rFonts w:eastAsia="宋体"/>
          <w:lang w:val="en-US"/>
        </w:rPr>
        <w:t>”</w:t>
      </w:r>
      <w:r>
        <w:rPr>
          <w:rFonts w:hint="eastAsia" w:eastAsia="宋体"/>
          <w:lang w:val="en-US"/>
        </w:rPr>
        <w:t xml:space="preserve"> can be configured for nr-RadioBearerConfig-r15 and nr-RadioBearerConfigS-r15 separately. And the possible configuration of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xml:space="preserve"> are summarized in the table as follow:</w:t>
      </w:r>
    </w:p>
    <w:p>
      <w:pPr>
        <w:jc w:val="center"/>
        <w:rPr>
          <w:rFonts w:eastAsia="宋体"/>
          <w:lang w:val="en-US"/>
        </w:rPr>
      </w:pPr>
      <w:r>
        <w:rPr>
          <w:rFonts w:hint="eastAsia" w:eastAsia="宋体"/>
          <w:lang w:val="en-US"/>
        </w:rPr>
        <w:t xml:space="preserve">Table 1: possible configuration of IE </w:t>
      </w:r>
      <w:r>
        <w:rPr>
          <w:rFonts w:eastAsia="宋体"/>
          <w:lang w:val="en-US"/>
        </w:rPr>
        <w:t>“</w:t>
      </w:r>
      <w:r>
        <w:rPr>
          <w:rFonts w:hint="eastAsia" w:eastAsia="宋体"/>
          <w:lang w:val="en-US"/>
        </w:rPr>
        <w:t>keyToUse</w:t>
      </w:r>
      <w:r>
        <w:rPr>
          <w:rFonts w:eastAsia="宋体"/>
          <w:lang w:val="en-US"/>
        </w:rPr>
        <w:t>”</w:t>
      </w:r>
    </w:p>
    <w:tbl>
      <w:tblPr>
        <w:tblStyle w:val="23"/>
        <w:tblW w:w="83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3180"/>
        <w:gridCol w:w="3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Configuration</w:t>
            </w:r>
          </w:p>
        </w:tc>
        <w:tc>
          <w:tcPr>
            <w:tcW w:w="3180" w:type="dxa"/>
          </w:tcPr>
          <w:p>
            <w:pPr>
              <w:rPr>
                <w:rFonts w:eastAsia="宋体"/>
                <w:lang w:val="en-US"/>
              </w:rPr>
            </w:pPr>
            <w:r>
              <w:rPr>
                <w:rFonts w:hint="eastAsia" w:eastAsia="宋体"/>
                <w:lang w:val="en-US"/>
              </w:rPr>
              <w:t>nr-RadioBearerConfig-r15</w:t>
            </w:r>
          </w:p>
        </w:tc>
        <w:tc>
          <w:tcPr>
            <w:tcW w:w="3417" w:type="dxa"/>
          </w:tcPr>
          <w:p>
            <w:pPr>
              <w:rPr>
                <w:rFonts w:eastAsia="宋体"/>
                <w:lang w:val="en-US"/>
              </w:rPr>
            </w:pPr>
            <w:r>
              <w:rPr>
                <w:rFonts w:hint="eastAsia" w:eastAsia="宋体"/>
                <w:lang w:val="en-US"/>
              </w:rPr>
              <w:t>nr-RadioBearerConfigS-r15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1</w:t>
            </w:r>
          </w:p>
        </w:tc>
        <w:tc>
          <w:tcPr>
            <w:tcW w:w="3180" w:type="dxa"/>
          </w:tcPr>
          <w:p>
            <w:pPr>
              <w:rPr>
                <w:rFonts w:eastAsia="宋体"/>
                <w:lang w:val="en-US"/>
              </w:rPr>
            </w:pPr>
            <w:r>
              <w:rPr>
                <w:rFonts w:hint="eastAsia" w:eastAsia="宋体"/>
                <w:lang w:val="en-US"/>
              </w:rPr>
              <w:t>KeNB</w:t>
            </w:r>
          </w:p>
        </w:tc>
        <w:tc>
          <w:tcPr>
            <w:tcW w:w="3417" w:type="dxa"/>
          </w:tcPr>
          <w:p>
            <w:pPr>
              <w:rPr>
                <w:rFonts w:eastAsia="宋体"/>
                <w:lang w:val="en-US"/>
              </w:rPr>
            </w:pPr>
            <w:r>
              <w:rPr>
                <w:rFonts w:hint="eastAsia" w:eastAsia="宋体"/>
                <w:lang w:val="en-US"/>
              </w:rPr>
              <w:t>S-KgNB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2</w:t>
            </w:r>
          </w:p>
        </w:tc>
        <w:tc>
          <w:tcPr>
            <w:tcW w:w="3180" w:type="dxa"/>
          </w:tcPr>
          <w:p>
            <w:pPr>
              <w:rPr>
                <w:rFonts w:eastAsia="宋体"/>
                <w:lang w:val="en-US"/>
              </w:rPr>
            </w:pPr>
            <w:r>
              <w:rPr>
                <w:rFonts w:hint="eastAsia" w:eastAsia="宋体"/>
                <w:lang w:val="en-US"/>
              </w:rPr>
              <w:t>KeNB</w:t>
            </w:r>
          </w:p>
        </w:tc>
        <w:tc>
          <w:tcPr>
            <w:tcW w:w="3417" w:type="dxa"/>
          </w:tcPr>
          <w:p>
            <w:pPr>
              <w:rPr>
                <w:rFonts w:eastAsia="宋体"/>
                <w:lang w:val="en-US"/>
              </w:rPr>
            </w:pPr>
            <w:r>
              <w:rPr>
                <w:rFonts w:hint="eastAsia" w:eastAsia="宋体"/>
                <w:lang w:val="en-US"/>
              </w:rPr>
              <w:t>KeNB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3</w:t>
            </w:r>
          </w:p>
        </w:tc>
        <w:tc>
          <w:tcPr>
            <w:tcW w:w="3180" w:type="dxa"/>
          </w:tcPr>
          <w:p>
            <w:pPr>
              <w:rPr>
                <w:rFonts w:eastAsia="宋体"/>
                <w:lang w:val="en-US"/>
              </w:rPr>
            </w:pPr>
            <w:r>
              <w:rPr>
                <w:rFonts w:hint="eastAsia" w:eastAsia="宋体"/>
                <w:lang w:val="en-US"/>
              </w:rPr>
              <w:t>S-KgNB</w:t>
            </w:r>
          </w:p>
        </w:tc>
        <w:tc>
          <w:tcPr>
            <w:tcW w:w="3417" w:type="dxa"/>
          </w:tcPr>
          <w:p>
            <w:pPr>
              <w:rPr>
                <w:rFonts w:eastAsia="宋体"/>
                <w:lang w:val="en-US"/>
              </w:rPr>
            </w:pPr>
            <w:r>
              <w:rPr>
                <w:rFonts w:hint="eastAsia" w:eastAsia="宋体"/>
                <w:lang w:val="en-US"/>
              </w:rPr>
              <w:t>KeNB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4</w:t>
            </w:r>
          </w:p>
        </w:tc>
        <w:tc>
          <w:tcPr>
            <w:tcW w:w="3180" w:type="dxa"/>
          </w:tcPr>
          <w:p>
            <w:pPr>
              <w:rPr>
                <w:rFonts w:eastAsia="宋体"/>
                <w:lang w:val="en-US"/>
              </w:rPr>
            </w:pPr>
            <w:r>
              <w:rPr>
                <w:rFonts w:hint="eastAsia" w:eastAsia="宋体"/>
                <w:lang w:val="en-US"/>
              </w:rPr>
              <w:t>S-KgNB</w:t>
            </w:r>
          </w:p>
        </w:tc>
        <w:tc>
          <w:tcPr>
            <w:tcW w:w="3417" w:type="dxa"/>
          </w:tcPr>
          <w:p>
            <w:pPr>
              <w:rPr>
                <w:rFonts w:eastAsia="宋体"/>
                <w:lang w:val="en-US"/>
              </w:rPr>
            </w:pPr>
            <w:r>
              <w:rPr>
                <w:rFonts w:hint="eastAsia" w:eastAsia="宋体"/>
                <w:lang w:val="en-US"/>
              </w:rPr>
              <w:t>S-KgNB</w:t>
            </w:r>
          </w:p>
        </w:tc>
      </w:tr>
    </w:tbl>
    <w:p>
      <w:pPr>
        <w:rPr>
          <w:rFonts w:eastAsia="宋体"/>
          <w:lang w:val="en-US"/>
        </w:rPr>
      </w:pPr>
    </w:p>
    <w:p>
      <w:pPr>
        <w:rPr>
          <w:rFonts w:eastAsia="宋体"/>
          <w:lang w:val="en-US"/>
        </w:rPr>
      </w:pPr>
      <w:r>
        <w:rPr>
          <w:rFonts w:hint="eastAsia" w:eastAsia="宋体"/>
          <w:lang w:val="en-US"/>
        </w:rPr>
        <w:t xml:space="preserve">In the current spec, the only restriction on the configuration of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xml:space="preserve"> is that </w:t>
      </w:r>
      <w:r>
        <w:rPr>
          <w:rFonts w:eastAsia="宋体"/>
          <w:lang w:val="en-US"/>
        </w:rPr>
        <w:t>“</w:t>
      </w:r>
      <w:r>
        <w:t>Network should not configure SRB1 and SRB2 with S-KeNB and SRB3 with KeNB.</w:t>
      </w:r>
      <w:r>
        <w:rPr>
          <w:rFonts w:eastAsia="宋体"/>
          <w:lang w:val="en-US"/>
        </w:rPr>
        <w:t>”</w:t>
      </w:r>
      <w:r>
        <w:rPr>
          <w:rFonts w:hint="eastAsia" w:eastAsia="宋体"/>
          <w:lang w:val="en-US"/>
        </w:rPr>
        <w:t>, and there is no restriction for the DRBs. Since the usage of some of the configuration is not clear and may depend on the implementation, we want to clarify that whether the UE will do extra validity check on the configuration?  In order to avoid ambiguity</w:t>
      </w:r>
      <w:r>
        <w:rPr>
          <w:rFonts w:eastAsia="宋体"/>
          <w:lang w:val="en-US"/>
        </w:rPr>
        <w:t>, we</w:t>
      </w:r>
      <w:r>
        <w:rPr>
          <w:rFonts w:hint="eastAsia" w:eastAsia="宋体"/>
          <w:lang w:val="en-US"/>
        </w:rPr>
        <w:t xml:space="preserve"> think that UE should not do any extra validity check on the configuration of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unless it has been specified clearly in specs.</w:t>
      </w:r>
    </w:p>
    <w:p>
      <w:pPr>
        <w:rPr>
          <w:rFonts w:eastAsia="宋体"/>
          <w:b/>
          <w:bCs/>
          <w:lang w:val="en-US"/>
        </w:rPr>
      </w:pPr>
      <w:r>
        <w:rPr>
          <w:rFonts w:hint="eastAsia" w:eastAsia="宋体"/>
          <w:b/>
          <w:bCs/>
          <w:lang w:val="en-US"/>
        </w:rPr>
        <w:t xml:space="preserve">Proposal 2: RAN2 is kindly asked to confirm that whether all the configuration listed in the table </w:t>
      </w:r>
      <w:r>
        <w:rPr>
          <w:rFonts w:hint="eastAsia" w:eastAsia="宋体"/>
          <w:b/>
          <w:bCs/>
          <w:lang w:val="en-US" w:eastAsia="zh-CN"/>
        </w:rPr>
        <w:t xml:space="preserve">above </w:t>
      </w:r>
      <w:r>
        <w:rPr>
          <w:rFonts w:hint="eastAsia" w:eastAsia="宋体"/>
          <w:b/>
          <w:bCs/>
          <w:lang w:val="en-US"/>
        </w:rPr>
        <w:t>is valid. If any invalid configuration is identified, the restriction should be captured in specs explicitly. Besides the restriction specified, the UE should not do any extra validity check by itself.</w:t>
      </w:r>
    </w:p>
    <w:p>
      <w:pPr>
        <w:rPr>
          <w:rFonts w:eastAsia="宋体"/>
          <w:lang w:val="en-US"/>
        </w:rPr>
      </w:pPr>
    </w:p>
    <w:p>
      <w:pPr>
        <w:rPr>
          <w:rFonts w:eastAsia="宋体"/>
          <w:u w:val="single"/>
        </w:rPr>
      </w:pPr>
      <w:r>
        <w:rPr>
          <w:rFonts w:hint="eastAsia" w:eastAsia="宋体"/>
          <w:u w:val="single"/>
        </w:rPr>
        <w:t xml:space="preserve">ISSUE </w:t>
      </w:r>
      <w:r>
        <w:rPr>
          <w:rFonts w:hint="eastAsia" w:eastAsia="宋体"/>
          <w:u w:val="single"/>
          <w:lang w:val="en-US"/>
        </w:rPr>
        <w:t>3</w:t>
      </w:r>
      <w:r>
        <w:rPr>
          <w:rFonts w:hint="eastAsia" w:eastAsia="宋体"/>
          <w:u w:val="single"/>
        </w:rPr>
        <w:t xml:space="preserve">: </w:t>
      </w:r>
      <w:r>
        <w:rPr>
          <w:rFonts w:hint="eastAsia" w:eastAsia="宋体"/>
          <w:u w:val="single"/>
          <w:lang w:val="en-US"/>
        </w:rPr>
        <w:t>V</w:t>
      </w:r>
      <w:r>
        <w:rPr>
          <w:rFonts w:hint="eastAsia" w:eastAsia="宋体"/>
          <w:u w:val="single"/>
        </w:rPr>
        <w:t>alidity che</w:t>
      </w:r>
      <w:r>
        <w:rPr>
          <w:rFonts w:hint="eastAsia" w:eastAsia="宋体"/>
          <w:u w:val="single"/>
          <w:lang w:val="en-US"/>
        </w:rPr>
        <w:t xml:space="preserve">ck on the reconfiguration of IE </w:t>
      </w:r>
      <w:r>
        <w:rPr>
          <w:rFonts w:eastAsia="宋体"/>
          <w:u w:val="single"/>
          <w:lang w:val="en-US"/>
        </w:rPr>
        <w:t>“</w:t>
      </w:r>
      <w:r>
        <w:rPr>
          <w:rFonts w:hint="eastAsia" w:eastAsia="宋体"/>
          <w:u w:val="single"/>
          <w:lang w:val="en-US"/>
        </w:rPr>
        <w:t>keyToUse</w:t>
      </w:r>
      <w:r>
        <w:rPr>
          <w:rFonts w:eastAsia="宋体"/>
          <w:u w:val="single"/>
          <w:lang w:val="en-US"/>
        </w:rPr>
        <w:t>”</w:t>
      </w:r>
    </w:p>
    <w:p>
      <w:pPr>
        <w:rPr>
          <w:rFonts w:eastAsia="宋体"/>
          <w:lang w:val="en-US"/>
        </w:rPr>
      </w:pPr>
      <w:r>
        <w:rPr>
          <w:rFonts w:hint="eastAsia" w:eastAsia="宋体"/>
          <w:lang w:val="en-US"/>
        </w:rPr>
        <w:t xml:space="preserve">Once the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xml:space="preserve"> is configured, based on the current specs, the reconfiguration of the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xml:space="preserve"> is allowed. Therefore, we want to clarify that whether there is any restriction (validity check) on the reconfiguration of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xml:space="preserve">. </w:t>
      </w:r>
    </w:p>
    <w:p>
      <w:pPr>
        <w:rPr>
          <w:rFonts w:eastAsia="宋体"/>
          <w:lang w:val="en-US"/>
        </w:rPr>
      </w:pPr>
      <w:r>
        <w:rPr>
          <w:rFonts w:hint="eastAsia" w:eastAsia="宋体"/>
          <w:lang w:val="en-US"/>
        </w:rPr>
        <w:t xml:space="preserve">For example, the nr-RadioBearerConfig-r15 is configured </w:t>
      </w:r>
      <w:r>
        <w:rPr>
          <w:rFonts w:eastAsia="宋体"/>
          <w:lang w:val="en-US"/>
        </w:rPr>
        <w:t>with</w:t>
      </w:r>
      <w:r>
        <w:rPr>
          <w:rFonts w:hint="eastAsia" w:eastAsia="宋体"/>
          <w:lang w:val="en-US"/>
        </w:rPr>
        <w:t xml:space="preserve"> KeNB at the very beginning, and be reconfigured to S-KgNB later. Or, the nr-RadioBearerConfigS-r15 is configured </w:t>
      </w:r>
      <w:r>
        <w:rPr>
          <w:rFonts w:eastAsia="宋体"/>
          <w:lang w:val="en-US"/>
        </w:rPr>
        <w:t>with</w:t>
      </w:r>
      <w:r>
        <w:rPr>
          <w:rFonts w:hint="eastAsia" w:eastAsia="宋体"/>
          <w:lang w:val="en-US"/>
        </w:rPr>
        <w:t xml:space="preserve"> S-KgN</w:t>
      </w:r>
      <w:r>
        <w:rPr>
          <w:rFonts w:eastAsia="宋体"/>
          <w:lang w:val="en-US"/>
        </w:rPr>
        <w:t>B</w:t>
      </w:r>
      <w:r>
        <w:rPr>
          <w:rFonts w:hint="eastAsia" w:eastAsia="宋体"/>
          <w:lang w:val="en-US"/>
        </w:rPr>
        <w:t xml:space="preserve"> at first but be reconfigured to KeNB later.</w:t>
      </w:r>
    </w:p>
    <w:p>
      <w:pPr>
        <w:rPr>
          <w:rFonts w:hint="eastAsia" w:eastAsia="宋体"/>
          <w:lang w:val="en-US"/>
        </w:rPr>
      </w:pPr>
      <w:r>
        <w:rPr>
          <w:rFonts w:hint="eastAsia" w:eastAsia="宋体"/>
          <w:lang w:val="en-US"/>
        </w:rPr>
        <w:t xml:space="preserve">In order to avoid ambiguity, we think that UE should not do any extra validity check on the reconfiguration of IE </w:t>
      </w:r>
      <w:r>
        <w:rPr>
          <w:rFonts w:eastAsia="宋体"/>
          <w:lang w:val="en-US"/>
        </w:rPr>
        <w:t>“</w:t>
      </w:r>
      <w:r>
        <w:rPr>
          <w:rFonts w:hint="eastAsia" w:eastAsia="宋体"/>
          <w:lang w:val="en-US"/>
        </w:rPr>
        <w:t>keyToUse</w:t>
      </w:r>
      <w:r>
        <w:rPr>
          <w:rFonts w:eastAsia="宋体"/>
          <w:lang w:val="en-US"/>
        </w:rPr>
        <w:t>”</w:t>
      </w:r>
      <w:r>
        <w:rPr>
          <w:rFonts w:hint="eastAsia" w:eastAsia="宋体"/>
          <w:lang w:val="en-US"/>
        </w:rPr>
        <w:t>, unless it has been specified clearly in specs.</w:t>
      </w:r>
    </w:p>
    <w:bookmarkEnd w:id="3"/>
    <w:bookmarkEnd w:id="4"/>
    <w:bookmarkEnd w:id="5"/>
    <w:bookmarkEnd w:id="6"/>
    <w:p>
      <w:pPr>
        <w:rPr>
          <w:rFonts w:eastAsia="宋体"/>
        </w:rPr>
      </w:pPr>
      <w:r>
        <w:rPr>
          <w:rFonts w:hint="eastAsia" w:eastAsia="宋体"/>
          <w:b/>
          <w:bCs/>
          <w:lang w:val="en-US"/>
        </w:rPr>
        <w:t xml:space="preserve">Proposal 3: RAN2 is kindly asked to confirm that whether all the potential reconfiguration on the IE </w:t>
      </w:r>
      <w:r>
        <w:rPr>
          <w:rFonts w:eastAsia="宋体"/>
          <w:b/>
          <w:bCs/>
          <w:lang w:val="en-US"/>
        </w:rPr>
        <w:t>“</w:t>
      </w:r>
      <w:r>
        <w:rPr>
          <w:rFonts w:hint="eastAsia" w:eastAsia="宋体"/>
          <w:b/>
          <w:bCs/>
          <w:lang w:val="en-US"/>
        </w:rPr>
        <w:t>keyToUse</w:t>
      </w:r>
      <w:r>
        <w:rPr>
          <w:rFonts w:eastAsia="宋体"/>
          <w:b/>
          <w:bCs/>
          <w:lang w:val="en-US"/>
        </w:rPr>
        <w:t>”</w:t>
      </w:r>
      <w:r>
        <w:rPr>
          <w:rFonts w:hint="eastAsia" w:eastAsia="宋体"/>
          <w:b/>
          <w:bCs/>
          <w:lang w:val="en-US"/>
        </w:rPr>
        <w:t xml:space="preserve"> is valid. If any invalid reconfiguration is identified, the restriction should be captured in specs explicitly. Besides the restriction specified, the UE should not do any extra validity check by itself.</w:t>
      </w:r>
    </w:p>
    <w:p>
      <w:pPr>
        <w:pStyle w:val="2"/>
        <w:rPr>
          <w:rFonts w:eastAsia="PMingLiU"/>
          <w:lang w:val="en-US"/>
        </w:rPr>
      </w:pPr>
      <w:r>
        <w:rPr>
          <w:rFonts w:eastAsia="PMingLiU"/>
          <w:lang w:val="en-US"/>
        </w:rPr>
        <w:t>Conclusion</w:t>
      </w:r>
    </w:p>
    <w:p>
      <w:pPr>
        <w:rPr>
          <w:rFonts w:eastAsia="宋体"/>
          <w:lang w:val="en-US"/>
        </w:rPr>
      </w:pPr>
      <w:r>
        <w:rPr>
          <w:lang w:val="en-US"/>
        </w:rPr>
        <w:t xml:space="preserve">It is proposed that RAN2 discuss and </w:t>
      </w:r>
      <w:r>
        <w:rPr>
          <w:rFonts w:hint="eastAsia" w:eastAsia="宋体"/>
          <w:lang w:val="en-US"/>
        </w:rPr>
        <w:t>adopt</w:t>
      </w:r>
      <w:r>
        <w:rPr>
          <w:lang w:val="en-US"/>
        </w:rPr>
        <w:t xml:space="preserve"> on following </w:t>
      </w:r>
      <w:r>
        <w:rPr>
          <w:rFonts w:hint="eastAsia" w:eastAsia="宋体"/>
          <w:lang w:val="en-US"/>
        </w:rPr>
        <w:t xml:space="preserve">observations and </w:t>
      </w:r>
      <w:r>
        <w:rPr>
          <w:lang w:val="en-US"/>
        </w:rPr>
        <w:t>proposals:</w:t>
      </w:r>
    </w:p>
    <w:p>
      <w:pPr>
        <w:rPr>
          <w:rFonts w:eastAsia="宋体"/>
          <w:u w:val="single"/>
          <w:lang w:val="en-US"/>
        </w:rPr>
      </w:pPr>
      <w:r>
        <w:rPr>
          <w:rFonts w:hint="eastAsia" w:eastAsia="宋体"/>
          <w:u w:val="single"/>
          <w:lang w:val="en-US"/>
        </w:rPr>
        <w:t>ISSUE 1: T</w:t>
      </w:r>
      <w:r>
        <w:rPr>
          <w:rFonts w:eastAsia="宋体"/>
          <w:u w:val="single"/>
          <w:lang w:val="en-US"/>
        </w:rPr>
        <w:t>he condition “</w:t>
      </w:r>
      <w:r>
        <w:rPr>
          <w:i/>
          <w:u w:val="single"/>
        </w:rPr>
        <w:t>KeyChange</w:t>
      </w:r>
      <w:r>
        <w:rPr>
          <w:rFonts w:eastAsia="宋体"/>
          <w:u w:val="single"/>
          <w:lang w:val="en-US"/>
        </w:rPr>
        <w:t>”</w:t>
      </w:r>
    </w:p>
    <w:p>
      <w:pPr>
        <w:rPr>
          <w:rFonts w:hint="eastAsia" w:eastAsia="宋体"/>
          <w:b w:val="0"/>
          <w:bCs w:val="0"/>
          <w:i/>
          <w:iCs/>
          <w:lang w:val="en-US"/>
        </w:rPr>
      </w:pPr>
      <w:r>
        <w:rPr>
          <w:rFonts w:hint="eastAsia" w:eastAsia="宋体"/>
          <w:b w:val="0"/>
          <w:bCs w:val="0"/>
          <w:i/>
          <w:iCs/>
          <w:lang w:val="en-US"/>
        </w:rPr>
        <w:t xml:space="preserve">Observation 1: </w:t>
      </w:r>
      <w:r>
        <w:rPr>
          <w:rFonts w:hint="eastAsia" w:eastAsia="宋体"/>
          <w:b w:val="0"/>
          <w:bCs w:val="0"/>
          <w:i/>
          <w:iCs/>
          <w:lang w:val="en-US" w:eastAsia="zh-CN"/>
        </w:rPr>
        <w:t xml:space="preserve">In case the sk-Counter is included but the configuration of </w:t>
      </w:r>
      <w:r>
        <w:rPr>
          <w:rFonts w:hint="eastAsia" w:eastAsia="宋体"/>
          <w:b w:val="0"/>
          <w:bCs w:val="0"/>
          <w:i/>
          <w:iCs/>
          <w:lang w:val="en-US"/>
        </w:rPr>
        <w:t>SecurityConfig</w:t>
      </w:r>
      <w:r>
        <w:rPr>
          <w:rFonts w:hint="eastAsia" w:eastAsia="宋体"/>
          <w:b w:val="0"/>
          <w:bCs w:val="0"/>
          <w:i/>
          <w:iCs/>
          <w:lang w:val="en-US" w:eastAsia="zh-CN"/>
        </w:rPr>
        <w:t xml:space="preserve"> is not changed, the S-KgNB will be updated according to the sk-Counter, but the </w:t>
      </w:r>
      <w:r>
        <w:rPr>
          <w:rFonts w:hint="eastAsia" w:eastAsia="宋体"/>
          <w:b w:val="0"/>
          <w:bCs w:val="0"/>
          <w:i/>
          <w:iCs/>
          <w:lang w:val="en-US"/>
        </w:rPr>
        <w:t>SecurityConfig</w:t>
      </w:r>
      <w:r>
        <w:rPr>
          <w:rFonts w:hint="eastAsia" w:eastAsia="宋体"/>
          <w:b w:val="0"/>
          <w:bCs w:val="0"/>
          <w:i/>
          <w:iCs/>
          <w:lang w:val="en-US" w:eastAsia="zh-CN"/>
        </w:rPr>
        <w:t xml:space="preserve"> shall not be required as </w:t>
      </w:r>
      <w:r>
        <w:rPr>
          <w:rFonts w:hint="eastAsia" w:eastAsia="宋体"/>
          <w:b w:val="0"/>
          <w:bCs w:val="0"/>
          <w:i/>
          <w:iCs/>
          <w:lang w:val="en-US"/>
        </w:rPr>
        <w:t>mandatory present</w:t>
      </w:r>
      <w:r>
        <w:rPr>
          <w:rFonts w:hint="eastAsia" w:eastAsia="宋体"/>
          <w:b w:val="0"/>
          <w:bCs w:val="0"/>
          <w:i/>
          <w:iCs/>
          <w:lang w:val="en-US" w:eastAsia="zh-CN"/>
        </w:rPr>
        <w:t xml:space="preserve"> in such case.</w:t>
      </w:r>
    </w:p>
    <w:p>
      <w:pPr>
        <w:rPr>
          <w:rFonts w:hint="eastAsia" w:eastAsia="宋体"/>
          <w:b/>
          <w:bCs/>
          <w:lang w:val="en-US"/>
        </w:rPr>
      </w:pPr>
      <w:r>
        <w:rPr>
          <w:rFonts w:hint="eastAsia" w:eastAsia="宋体"/>
          <w:b/>
          <w:bCs/>
          <w:lang w:val="en-US"/>
        </w:rPr>
        <w:t>Proposal 1: The condition marker “KeyChange” for IE “securityConfig ” should be removed</w:t>
      </w:r>
      <w:r>
        <w:rPr>
          <w:rFonts w:hint="eastAsia" w:eastAsia="宋体"/>
          <w:b/>
          <w:bCs/>
          <w:lang w:val="en-US" w:eastAsia="zh-CN"/>
        </w:rPr>
        <w:t xml:space="preserve">, and the IE </w:t>
      </w:r>
      <w:r>
        <w:rPr>
          <w:rFonts w:hint="eastAsia" w:eastAsia="宋体"/>
          <w:b/>
          <w:bCs/>
          <w:lang w:val="en-US"/>
        </w:rPr>
        <w:t xml:space="preserve">securityConfig </w:t>
      </w:r>
      <w:r>
        <w:rPr>
          <w:rFonts w:hint="eastAsia" w:eastAsia="宋体"/>
          <w:b/>
          <w:bCs/>
          <w:lang w:val="en-US" w:eastAsia="zh-CN"/>
        </w:rPr>
        <w:t>should be marked as Need M.</w:t>
      </w:r>
    </w:p>
    <w:p>
      <w:pPr>
        <w:rPr>
          <w:rFonts w:eastAsia="宋体"/>
          <w:b/>
        </w:rPr>
      </w:pPr>
    </w:p>
    <w:p>
      <w:pPr>
        <w:rPr>
          <w:rFonts w:eastAsia="宋体"/>
          <w:u w:val="single"/>
        </w:rPr>
      </w:pPr>
      <w:r>
        <w:rPr>
          <w:rFonts w:hint="eastAsia" w:eastAsia="宋体"/>
          <w:u w:val="single"/>
        </w:rPr>
        <w:t xml:space="preserve">ISSUE 2: </w:t>
      </w:r>
      <w:r>
        <w:rPr>
          <w:rFonts w:hint="eastAsia" w:eastAsia="宋体"/>
          <w:u w:val="single"/>
          <w:lang w:val="en-US"/>
        </w:rPr>
        <w:t>V</w:t>
      </w:r>
      <w:r>
        <w:rPr>
          <w:rFonts w:hint="eastAsia" w:eastAsia="宋体"/>
          <w:u w:val="single"/>
        </w:rPr>
        <w:t>alidity che</w:t>
      </w:r>
      <w:r>
        <w:rPr>
          <w:rFonts w:hint="eastAsia" w:eastAsia="宋体"/>
          <w:u w:val="single"/>
          <w:lang w:val="en-US"/>
        </w:rPr>
        <w:t xml:space="preserve">ck on the configuration of IE </w:t>
      </w:r>
      <w:r>
        <w:rPr>
          <w:rFonts w:eastAsia="宋体"/>
          <w:u w:val="single"/>
          <w:lang w:val="en-US"/>
        </w:rPr>
        <w:t>“</w:t>
      </w:r>
      <w:r>
        <w:rPr>
          <w:rFonts w:hint="eastAsia" w:eastAsia="宋体"/>
          <w:u w:val="single"/>
          <w:lang w:val="en-US"/>
        </w:rPr>
        <w:t>keyToUse</w:t>
      </w:r>
      <w:r>
        <w:rPr>
          <w:rFonts w:eastAsia="宋体"/>
          <w:u w:val="single"/>
          <w:lang w:val="en-US"/>
        </w:rPr>
        <w:t>”</w:t>
      </w:r>
    </w:p>
    <w:p>
      <w:pPr>
        <w:rPr>
          <w:rFonts w:eastAsia="宋体"/>
          <w:b/>
          <w:bCs/>
          <w:lang w:val="en-US"/>
        </w:rPr>
      </w:pPr>
      <w:r>
        <w:rPr>
          <w:rFonts w:hint="eastAsia" w:eastAsia="宋体"/>
          <w:b/>
          <w:bCs/>
          <w:lang w:val="en-US"/>
        </w:rPr>
        <w:t>Proposal 2: RAN2 is kindly asked to confirm that whether all the configuration listed in the table below is valid. If any invalid configuration is identified, the restriction should be captured in specs explicitly. Besides the restriction specified, the UE should not do any extra validity check by itself.</w:t>
      </w:r>
    </w:p>
    <w:p>
      <w:pPr>
        <w:jc w:val="center"/>
        <w:rPr>
          <w:rFonts w:eastAsia="宋体"/>
          <w:lang w:val="en-US"/>
        </w:rPr>
      </w:pPr>
      <w:r>
        <w:rPr>
          <w:rFonts w:hint="eastAsia" w:eastAsia="宋体"/>
          <w:lang w:val="en-US"/>
        </w:rPr>
        <w:t xml:space="preserve">Table: possible configuration of IE </w:t>
      </w:r>
      <w:r>
        <w:rPr>
          <w:rFonts w:eastAsia="宋体"/>
          <w:lang w:val="en-US"/>
        </w:rPr>
        <w:t>“</w:t>
      </w:r>
      <w:r>
        <w:rPr>
          <w:rFonts w:hint="eastAsia" w:eastAsia="宋体"/>
          <w:lang w:val="en-US"/>
        </w:rPr>
        <w:t>keyToUse</w:t>
      </w:r>
      <w:r>
        <w:rPr>
          <w:rFonts w:eastAsia="宋体"/>
          <w:lang w:val="en-US"/>
        </w:rPr>
        <w:t>”</w:t>
      </w:r>
    </w:p>
    <w:tbl>
      <w:tblPr>
        <w:tblStyle w:val="23"/>
        <w:tblW w:w="83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3180"/>
        <w:gridCol w:w="3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Configuration</w:t>
            </w:r>
          </w:p>
        </w:tc>
        <w:tc>
          <w:tcPr>
            <w:tcW w:w="3180" w:type="dxa"/>
          </w:tcPr>
          <w:p>
            <w:pPr>
              <w:rPr>
                <w:rFonts w:eastAsia="宋体"/>
                <w:lang w:val="en-US"/>
              </w:rPr>
            </w:pPr>
            <w:r>
              <w:rPr>
                <w:rFonts w:hint="eastAsia" w:eastAsia="宋体"/>
                <w:lang w:val="en-US"/>
              </w:rPr>
              <w:t>nr-RadioBearerConfig-r15</w:t>
            </w:r>
          </w:p>
        </w:tc>
        <w:tc>
          <w:tcPr>
            <w:tcW w:w="3417" w:type="dxa"/>
          </w:tcPr>
          <w:p>
            <w:pPr>
              <w:rPr>
                <w:rFonts w:eastAsia="宋体"/>
                <w:lang w:val="en-US"/>
              </w:rPr>
            </w:pPr>
            <w:r>
              <w:rPr>
                <w:rFonts w:hint="eastAsia" w:eastAsia="宋体"/>
                <w:lang w:val="en-US"/>
              </w:rPr>
              <w:t>nr-RadioBearerConfigS-r15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1</w:t>
            </w:r>
          </w:p>
        </w:tc>
        <w:tc>
          <w:tcPr>
            <w:tcW w:w="3180" w:type="dxa"/>
          </w:tcPr>
          <w:p>
            <w:pPr>
              <w:rPr>
                <w:rFonts w:eastAsia="宋体"/>
                <w:lang w:val="en-US"/>
              </w:rPr>
            </w:pPr>
            <w:r>
              <w:rPr>
                <w:rFonts w:hint="eastAsia" w:eastAsia="宋体"/>
                <w:lang w:val="en-US"/>
              </w:rPr>
              <w:t>KeNB</w:t>
            </w:r>
          </w:p>
        </w:tc>
        <w:tc>
          <w:tcPr>
            <w:tcW w:w="3417" w:type="dxa"/>
          </w:tcPr>
          <w:p>
            <w:pPr>
              <w:rPr>
                <w:rFonts w:eastAsia="宋体"/>
                <w:lang w:val="en-US"/>
              </w:rPr>
            </w:pPr>
            <w:r>
              <w:rPr>
                <w:rFonts w:hint="eastAsia" w:eastAsia="宋体"/>
                <w:lang w:val="en-US"/>
              </w:rPr>
              <w:t>S-KgNB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2</w:t>
            </w:r>
          </w:p>
        </w:tc>
        <w:tc>
          <w:tcPr>
            <w:tcW w:w="3180" w:type="dxa"/>
          </w:tcPr>
          <w:p>
            <w:pPr>
              <w:rPr>
                <w:rFonts w:eastAsia="宋体"/>
                <w:lang w:val="en-US"/>
              </w:rPr>
            </w:pPr>
            <w:r>
              <w:rPr>
                <w:rFonts w:hint="eastAsia" w:eastAsia="宋体"/>
                <w:lang w:val="en-US"/>
              </w:rPr>
              <w:t>KeNB</w:t>
            </w:r>
          </w:p>
        </w:tc>
        <w:tc>
          <w:tcPr>
            <w:tcW w:w="3417" w:type="dxa"/>
          </w:tcPr>
          <w:p>
            <w:pPr>
              <w:rPr>
                <w:rFonts w:eastAsia="宋体"/>
                <w:lang w:val="en-US"/>
              </w:rPr>
            </w:pPr>
            <w:r>
              <w:rPr>
                <w:rFonts w:hint="eastAsia" w:eastAsia="宋体"/>
                <w:lang w:val="en-US"/>
              </w:rPr>
              <w:t>KeNB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3</w:t>
            </w:r>
          </w:p>
        </w:tc>
        <w:tc>
          <w:tcPr>
            <w:tcW w:w="3180" w:type="dxa"/>
          </w:tcPr>
          <w:p>
            <w:pPr>
              <w:rPr>
                <w:rFonts w:eastAsia="宋体"/>
                <w:lang w:val="en-US"/>
              </w:rPr>
            </w:pPr>
            <w:r>
              <w:rPr>
                <w:rFonts w:hint="eastAsia" w:eastAsia="宋体"/>
                <w:lang w:val="en-US"/>
              </w:rPr>
              <w:t>S-KgNB</w:t>
            </w:r>
          </w:p>
        </w:tc>
        <w:tc>
          <w:tcPr>
            <w:tcW w:w="3417" w:type="dxa"/>
          </w:tcPr>
          <w:p>
            <w:pPr>
              <w:rPr>
                <w:rFonts w:eastAsia="宋体"/>
                <w:lang w:val="en-US"/>
              </w:rPr>
            </w:pPr>
            <w:r>
              <w:rPr>
                <w:rFonts w:hint="eastAsia" w:eastAsia="宋体"/>
                <w:lang w:val="en-US"/>
              </w:rPr>
              <w:t>KeNB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84" w:type="dxa"/>
          </w:tcPr>
          <w:p>
            <w:pPr>
              <w:rPr>
                <w:rFonts w:eastAsia="宋体"/>
                <w:lang w:val="en-US"/>
              </w:rPr>
            </w:pPr>
            <w:r>
              <w:rPr>
                <w:rFonts w:hint="eastAsia" w:eastAsia="宋体"/>
                <w:lang w:val="en-US"/>
              </w:rPr>
              <w:t>4</w:t>
            </w:r>
          </w:p>
        </w:tc>
        <w:tc>
          <w:tcPr>
            <w:tcW w:w="3180" w:type="dxa"/>
          </w:tcPr>
          <w:p>
            <w:pPr>
              <w:rPr>
                <w:rFonts w:eastAsia="宋体"/>
                <w:lang w:val="en-US"/>
              </w:rPr>
            </w:pPr>
            <w:r>
              <w:rPr>
                <w:rFonts w:hint="eastAsia" w:eastAsia="宋体"/>
                <w:lang w:val="en-US"/>
              </w:rPr>
              <w:t>S-KgNB</w:t>
            </w:r>
          </w:p>
        </w:tc>
        <w:tc>
          <w:tcPr>
            <w:tcW w:w="3417" w:type="dxa"/>
          </w:tcPr>
          <w:p>
            <w:pPr>
              <w:rPr>
                <w:rFonts w:eastAsia="宋体"/>
                <w:lang w:val="en-US"/>
              </w:rPr>
            </w:pPr>
            <w:r>
              <w:rPr>
                <w:rFonts w:hint="eastAsia" w:eastAsia="宋体"/>
                <w:lang w:val="en-US"/>
              </w:rPr>
              <w:t>S-KgNB</w:t>
            </w:r>
          </w:p>
        </w:tc>
      </w:tr>
    </w:tbl>
    <w:p>
      <w:pPr>
        <w:rPr>
          <w:rFonts w:eastAsia="宋体"/>
          <w:b/>
        </w:rPr>
      </w:pPr>
    </w:p>
    <w:bookmarkEnd w:id="0"/>
    <w:bookmarkEnd w:id="1"/>
    <w:p>
      <w:pPr>
        <w:rPr>
          <w:rFonts w:eastAsia="宋体"/>
        </w:rPr>
      </w:pPr>
      <w:r>
        <w:rPr>
          <w:rFonts w:hint="eastAsia" w:eastAsia="宋体"/>
          <w:b/>
          <w:bCs/>
          <w:lang w:val="en-US"/>
        </w:rPr>
        <w:t xml:space="preserve">Proposal 3: RAN2 is kindly asked to confirm that whether all the potential reconfiguration on the IE </w:t>
      </w:r>
      <w:r>
        <w:rPr>
          <w:rFonts w:eastAsia="宋体"/>
          <w:b/>
          <w:bCs/>
          <w:lang w:val="en-US"/>
        </w:rPr>
        <w:t>“</w:t>
      </w:r>
      <w:r>
        <w:rPr>
          <w:rFonts w:hint="eastAsia" w:eastAsia="宋体"/>
          <w:b/>
          <w:bCs/>
          <w:lang w:val="en-US"/>
        </w:rPr>
        <w:t>keyToUse</w:t>
      </w:r>
      <w:r>
        <w:rPr>
          <w:rFonts w:eastAsia="宋体"/>
          <w:b/>
          <w:bCs/>
          <w:lang w:val="en-US"/>
        </w:rPr>
        <w:t>”</w:t>
      </w:r>
      <w:r>
        <w:rPr>
          <w:rFonts w:hint="eastAsia" w:eastAsia="宋体"/>
          <w:b/>
          <w:bCs/>
          <w:lang w:val="en-US"/>
        </w:rPr>
        <w:t xml:space="preserve"> is valid. If any invalid reconfiguration is identified, the restriction should be captured in specs explicitly. Besides the restriction specified, the UE should not do any extra validity check by itself.</w:t>
      </w:r>
    </w:p>
    <w:p>
      <w:pPr>
        <w:pStyle w:val="2"/>
        <w:rPr>
          <w:rFonts w:eastAsia="PMingLiU"/>
          <w:lang w:val="en-US"/>
        </w:rPr>
      </w:pPr>
      <w:r>
        <w:rPr>
          <w:rFonts w:eastAsia="PMingLiU"/>
          <w:lang w:val="en-US"/>
        </w:rPr>
        <w:t>Reference</w:t>
      </w:r>
    </w:p>
    <w:p>
      <w:pPr>
        <w:numPr>
          <w:ilvl w:val="0"/>
          <w:numId w:val="4"/>
        </w:numPr>
        <w:rPr>
          <w:lang w:eastAsia="ja-JP"/>
        </w:rPr>
      </w:pPr>
      <w:r>
        <w:rPr>
          <w:rFonts w:hint="eastAsia" w:eastAsia="宋体"/>
        </w:rPr>
        <w:tab/>
      </w:r>
      <w:r>
        <w:rPr>
          <w:rFonts w:hint="eastAsia"/>
          <w:lang w:eastAsia="ja-JP"/>
        </w:rPr>
        <w:t>38331-101</w:t>
      </w:r>
    </w:p>
    <w:p>
      <w:pPr>
        <w:pStyle w:val="2"/>
        <w:rPr>
          <w:rFonts w:eastAsia="宋体"/>
          <w:lang w:val="en-US" w:eastAsia="ja-JP"/>
        </w:rPr>
      </w:pPr>
      <w:r>
        <w:rPr>
          <w:rFonts w:hint="eastAsia" w:eastAsia="宋体"/>
          <w:lang w:val="en-US"/>
        </w:rPr>
        <w:t xml:space="preserve">Annex Proposed changes on the removal of condition marker </w:t>
      </w:r>
      <w:r>
        <w:rPr>
          <w:rFonts w:eastAsia="宋体"/>
          <w:lang w:val="en-US"/>
        </w:rPr>
        <w:t>“KeyChange”</w:t>
      </w:r>
    </w:p>
    <w:p>
      <w:pPr>
        <w:pStyle w:val="5"/>
      </w:pPr>
      <w:r>
        <w:t>–</w:t>
      </w:r>
      <w:r>
        <w:tab/>
      </w:r>
      <w:r>
        <w:rPr>
          <w:i/>
        </w:rPr>
        <w:t>RadioBearerConfig</w:t>
      </w:r>
    </w:p>
    <w:p>
      <w:r>
        <w:t xml:space="preserve">The IE </w:t>
      </w:r>
      <w:r>
        <w:rPr>
          <w:i/>
        </w:rPr>
        <w:t xml:space="preserve">RadioBearerConfig </w:t>
      </w:r>
      <w:r>
        <w:t>is used to add, modify and release signalling- and/or data radio bearers. Specifically, this IE carries the parameters for PDCP and, if applicable, SDAP entities for the radio bearers.</w:t>
      </w:r>
    </w:p>
    <w:p>
      <w:pPr>
        <w:pStyle w:val="24"/>
      </w:pPr>
      <w:r>
        <w:rPr>
          <w:i/>
          <w:iCs/>
        </w:rPr>
        <w:t xml:space="preserve">RadioBearerConfig </w:t>
      </w:r>
      <w:r>
        <w:t>information element</w:t>
      </w:r>
    </w:p>
    <w:p>
      <w:pPr>
        <w:pStyle w:val="37"/>
        <w:rPr>
          <w:color w:val="808080"/>
        </w:rPr>
      </w:pPr>
      <w:r>
        <w:rPr>
          <w:color w:val="808080"/>
        </w:rPr>
        <w:t>-- ASN1START</w:t>
      </w:r>
    </w:p>
    <w:p>
      <w:pPr>
        <w:pStyle w:val="37"/>
        <w:rPr>
          <w:color w:val="808080"/>
        </w:rPr>
      </w:pPr>
      <w:r>
        <w:rPr>
          <w:color w:val="808080"/>
        </w:rPr>
        <w:t>-- TAG-RADIO-BEARER-CONFIG-START</w:t>
      </w:r>
    </w:p>
    <w:p>
      <w:pPr>
        <w:pStyle w:val="37"/>
      </w:pPr>
    </w:p>
    <w:p>
      <w:pPr>
        <w:pStyle w:val="37"/>
      </w:pPr>
      <w:r>
        <w:t>RadioBearerConfig ::=</w:t>
      </w:r>
      <w:r>
        <w:tab/>
      </w:r>
      <w:r>
        <w:tab/>
      </w:r>
      <w:r>
        <w:tab/>
      </w:r>
      <w:r>
        <w:tab/>
      </w:r>
      <w:r>
        <w:tab/>
      </w:r>
      <w:r>
        <w:rPr>
          <w:color w:val="993366"/>
        </w:rPr>
        <w:t>SEQUENCE</w:t>
      </w:r>
      <w:r>
        <w:t xml:space="preserve"> {</w:t>
      </w:r>
    </w:p>
    <w:p>
      <w:pPr>
        <w:pStyle w:val="37"/>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SRB-ToAddModList</w:t>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rPr>
      </w:pPr>
      <w:r>
        <w:tab/>
      </w:r>
      <w:r>
        <w:t>drb-</w:t>
      </w:r>
      <w:r>
        <w:rPr>
          <w:snapToGrid w:val="0"/>
        </w:rPr>
        <w:t>ToAddMod</w:t>
      </w:r>
      <w:r>
        <w:t>List</w:t>
      </w:r>
      <w:r>
        <w:tab/>
      </w:r>
      <w:r>
        <w:tab/>
      </w:r>
      <w:r>
        <w:tab/>
      </w:r>
      <w:r>
        <w:tab/>
      </w:r>
      <w:r>
        <w:tab/>
      </w:r>
      <w:r>
        <w:tab/>
      </w:r>
      <w:r>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rPr>
      </w:pPr>
      <w:r>
        <w:tab/>
      </w:r>
      <w:r>
        <w:t>drb-</w:t>
      </w:r>
      <w:r>
        <w:rPr>
          <w:snapToGrid w:val="0"/>
        </w:rPr>
        <w:t>ToRelease</w:t>
      </w:r>
      <w:r>
        <w:t>List</w:t>
      </w:r>
      <w:r>
        <w:tab/>
      </w:r>
      <w:r>
        <w:tab/>
      </w:r>
      <w:r>
        <w:tab/>
      </w:r>
      <w:r>
        <w:tab/>
      </w:r>
      <w:r>
        <w:tab/>
      </w:r>
      <w:r>
        <w:tab/>
      </w:r>
      <w:r>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M</w:t>
      </w:r>
    </w:p>
    <w:p>
      <w:pPr>
        <w:pStyle w:val="37"/>
        <w:rPr>
          <w:color w:val="808080"/>
        </w:rPr>
      </w:pPr>
      <w:r>
        <w:tab/>
      </w:r>
      <w:r>
        <w:t xml:space="preserve">securityConfig </w:t>
      </w:r>
      <w:r>
        <w:tab/>
      </w:r>
      <w:r>
        <w:tab/>
      </w:r>
      <w:r>
        <w:tab/>
      </w:r>
      <w:r>
        <w:tab/>
      </w:r>
      <w:r>
        <w:tab/>
      </w:r>
      <w:r>
        <w:tab/>
      </w:r>
      <w:r>
        <w:tab/>
      </w:r>
      <w:r>
        <w:t>SecurityConfig</w:t>
      </w:r>
      <w:r>
        <w:tab/>
      </w:r>
      <w:r>
        <w:tab/>
      </w:r>
      <w:r>
        <w:tab/>
      </w:r>
      <w:r>
        <w:tab/>
      </w:r>
      <w:r>
        <w:tab/>
      </w:r>
      <w:r>
        <w:tab/>
      </w:r>
      <w:r>
        <w:tab/>
      </w:r>
      <w:r>
        <w:tab/>
      </w:r>
      <w:r>
        <w:tab/>
      </w:r>
      <w:r>
        <w:tab/>
      </w:r>
      <w:r>
        <w:tab/>
      </w:r>
      <w:r>
        <w:rPr>
          <w:color w:val="993366"/>
        </w:rPr>
        <w:t>OPTIONAL</w:t>
      </w:r>
      <w:r>
        <w:t xml:space="preserve">  </w:t>
      </w:r>
      <w:r>
        <w:rPr>
          <w:color w:val="808080"/>
        </w:rPr>
        <w:t xml:space="preserve">-- </w:t>
      </w:r>
      <w:r>
        <w:rPr>
          <w:color w:val="FF0000"/>
        </w:rPr>
        <w:t>Need M</w:t>
      </w:r>
      <w:r>
        <w:rPr>
          <w:strike/>
          <w:color w:val="FF0000"/>
        </w:rPr>
        <w:t>Cond KeyChange</w:t>
      </w:r>
    </w:p>
    <w:p>
      <w:pPr>
        <w:pStyle w:val="37"/>
      </w:pPr>
      <w:r>
        <w:t>}</w:t>
      </w:r>
    </w:p>
    <w:p>
      <w:pPr>
        <w:rPr>
          <w:rFonts w:eastAsia="宋体"/>
          <w:lang w:val="en-US"/>
        </w:rPr>
      </w:pPr>
      <w:r>
        <w:rPr>
          <w:rFonts w:hint="eastAsia" w:eastAsia="宋体"/>
          <w:lang w:val="en-US"/>
        </w:rPr>
        <w:t xml:space="preserve"> /*omitted*/</w:t>
      </w:r>
    </w:p>
    <w:p>
      <w:pPr>
        <w:rPr>
          <w:rFonts w:eastAsia="宋体"/>
          <w:lang w:val="en-US"/>
        </w:rPr>
      </w:pPr>
    </w:p>
    <w:tbl>
      <w:tblPr>
        <w:tblStyle w:val="22"/>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26"/>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6" w:type="dxa"/>
          </w:tcPr>
          <w:p>
            <w:pPr>
              <w:pStyle w:val="26"/>
            </w:pPr>
            <w:r>
              <w:t>Conditional Presence</w:t>
            </w:r>
          </w:p>
        </w:tc>
        <w:tc>
          <w:tcPr>
            <w:tcW w:w="7370" w:type="dxa"/>
          </w:tcPr>
          <w:p>
            <w:pPr>
              <w:pStyle w:val="26"/>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6" w:type="dxa"/>
          </w:tcPr>
          <w:p>
            <w:pPr>
              <w:pStyle w:val="27"/>
              <w:rPr>
                <w:i/>
                <w:strike/>
                <w:color w:val="FF0000"/>
              </w:rPr>
            </w:pPr>
            <w:r>
              <w:rPr>
                <w:i/>
                <w:strike/>
                <w:color w:val="FF0000"/>
              </w:rPr>
              <w:t>KeyChange</w:t>
            </w:r>
          </w:p>
        </w:tc>
        <w:tc>
          <w:tcPr>
            <w:tcW w:w="7370" w:type="dxa"/>
          </w:tcPr>
          <w:p>
            <w:pPr>
              <w:pStyle w:val="27"/>
              <w:rPr>
                <w:strike/>
                <w:color w:val="FF0000"/>
              </w:rPr>
            </w:pPr>
            <w:r>
              <w:rPr>
                <w:strike/>
                <w:color w:val="FF0000"/>
              </w:rPr>
              <w:t>The field is mandatory present in case of with key change, otherwise the field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6" w:type="dxa"/>
          </w:tcPr>
          <w:p>
            <w:pPr>
              <w:pStyle w:val="27"/>
              <w:rPr>
                <w:i/>
              </w:rPr>
            </w:pPr>
            <w:r>
              <w:rPr>
                <w:i/>
              </w:rPr>
              <w:t>PDCP</w:t>
            </w:r>
          </w:p>
        </w:tc>
        <w:tc>
          <w:tcPr>
            <w:tcW w:w="7370" w:type="dxa"/>
          </w:tcPr>
          <w:p>
            <w:pPr>
              <w:pStyle w:val="27"/>
            </w:pPr>
            <w:r>
              <w:t>The field is mandatory present if the corresponding DRB is being setup or reconfigured with NR PDCP; otherwise the field is optionally present, need M</w:t>
            </w:r>
          </w:p>
        </w:tc>
      </w:tr>
    </w:tbl>
    <w:p>
      <w:pPr>
        <w:rPr>
          <w:rFonts w:eastAsia="宋体"/>
          <w:lang w:val="en-US"/>
        </w:rPr>
      </w:pPr>
    </w:p>
    <w:sectPr>
      <w:pgSz w:w="12240" w:h="15840"/>
      <w:pgMar w:top="1440" w:right="1080"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等线">
    <w:altName w:val="宋体"/>
    <w:panose1 w:val="00000000000000000000"/>
    <w:charset w:val="86"/>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666"/>
        </w:tabs>
        <w:ind w:left="66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4BDF65F6"/>
    <w:multiLevelType w:val="multilevel"/>
    <w:tmpl w:val="4BDF65F6"/>
    <w:lvl w:ilvl="0" w:tentative="0">
      <w:start w:val="1"/>
      <w:numFmt w:val="decimal"/>
      <w:pStyle w:val="28"/>
      <w:lvlText w:val="[%1]"/>
      <w:lvlJc w:val="left"/>
      <w:pPr>
        <w:tabs>
          <w:tab w:val="left" w:pos="567"/>
        </w:tabs>
        <w:ind w:left="567" w:hanging="567"/>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A5D62FE"/>
    <w:multiLevelType w:val="singleLevel"/>
    <w:tmpl w:val="5A5D62FE"/>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720"/>
  <w:drawingGridHorizontalSpacing w:val="11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D02"/>
    <w:rsid w:val="00000C99"/>
    <w:rsid w:val="00001FF2"/>
    <w:rsid w:val="0000276E"/>
    <w:rsid w:val="0000564B"/>
    <w:rsid w:val="000074DB"/>
    <w:rsid w:val="00012844"/>
    <w:rsid w:val="00012DE8"/>
    <w:rsid w:val="0001431D"/>
    <w:rsid w:val="00016C92"/>
    <w:rsid w:val="00025C9E"/>
    <w:rsid w:val="00031586"/>
    <w:rsid w:val="0003253E"/>
    <w:rsid w:val="00032C44"/>
    <w:rsid w:val="000333D8"/>
    <w:rsid w:val="00033B9B"/>
    <w:rsid w:val="00034AD7"/>
    <w:rsid w:val="00035593"/>
    <w:rsid w:val="000371D0"/>
    <w:rsid w:val="00037B06"/>
    <w:rsid w:val="000454A2"/>
    <w:rsid w:val="000500D7"/>
    <w:rsid w:val="000513BD"/>
    <w:rsid w:val="000513F9"/>
    <w:rsid w:val="00052E47"/>
    <w:rsid w:val="00053C4E"/>
    <w:rsid w:val="000553A0"/>
    <w:rsid w:val="000559FA"/>
    <w:rsid w:val="000565A2"/>
    <w:rsid w:val="00056F07"/>
    <w:rsid w:val="00061BB0"/>
    <w:rsid w:val="0006252D"/>
    <w:rsid w:val="00062737"/>
    <w:rsid w:val="00063663"/>
    <w:rsid w:val="00063C48"/>
    <w:rsid w:val="00065536"/>
    <w:rsid w:val="00065635"/>
    <w:rsid w:val="00065BAB"/>
    <w:rsid w:val="00065BD2"/>
    <w:rsid w:val="00066472"/>
    <w:rsid w:val="00067411"/>
    <w:rsid w:val="000706A4"/>
    <w:rsid w:val="00070721"/>
    <w:rsid w:val="00070C71"/>
    <w:rsid w:val="00070F60"/>
    <w:rsid w:val="00071221"/>
    <w:rsid w:val="0007468F"/>
    <w:rsid w:val="0007522A"/>
    <w:rsid w:val="00076614"/>
    <w:rsid w:val="00076F68"/>
    <w:rsid w:val="00077201"/>
    <w:rsid w:val="00081129"/>
    <w:rsid w:val="00082ED5"/>
    <w:rsid w:val="000830E1"/>
    <w:rsid w:val="000847C0"/>
    <w:rsid w:val="00084E19"/>
    <w:rsid w:val="00084E73"/>
    <w:rsid w:val="00084FAC"/>
    <w:rsid w:val="00085131"/>
    <w:rsid w:val="000852A3"/>
    <w:rsid w:val="00085928"/>
    <w:rsid w:val="00087085"/>
    <w:rsid w:val="000876C8"/>
    <w:rsid w:val="000901FB"/>
    <w:rsid w:val="000908DA"/>
    <w:rsid w:val="00092E9B"/>
    <w:rsid w:val="00097367"/>
    <w:rsid w:val="000A226A"/>
    <w:rsid w:val="000A3E5D"/>
    <w:rsid w:val="000A3F12"/>
    <w:rsid w:val="000A6959"/>
    <w:rsid w:val="000B0758"/>
    <w:rsid w:val="000B0ABB"/>
    <w:rsid w:val="000B23DE"/>
    <w:rsid w:val="000B267A"/>
    <w:rsid w:val="000B2A63"/>
    <w:rsid w:val="000B2B46"/>
    <w:rsid w:val="000B426F"/>
    <w:rsid w:val="000B4A82"/>
    <w:rsid w:val="000C0B80"/>
    <w:rsid w:val="000C19E8"/>
    <w:rsid w:val="000C1A70"/>
    <w:rsid w:val="000C2657"/>
    <w:rsid w:val="000C5C1F"/>
    <w:rsid w:val="000C66E8"/>
    <w:rsid w:val="000C7874"/>
    <w:rsid w:val="000C7C36"/>
    <w:rsid w:val="000D058D"/>
    <w:rsid w:val="000D16F3"/>
    <w:rsid w:val="000D28AA"/>
    <w:rsid w:val="000D6F97"/>
    <w:rsid w:val="000D7F7E"/>
    <w:rsid w:val="000D7FA4"/>
    <w:rsid w:val="000E3524"/>
    <w:rsid w:val="000E4A98"/>
    <w:rsid w:val="000E524E"/>
    <w:rsid w:val="000E55EC"/>
    <w:rsid w:val="000E591E"/>
    <w:rsid w:val="000E5F20"/>
    <w:rsid w:val="000E729D"/>
    <w:rsid w:val="000E736F"/>
    <w:rsid w:val="000E75B8"/>
    <w:rsid w:val="000E7F94"/>
    <w:rsid w:val="000F13B9"/>
    <w:rsid w:val="000F1F2B"/>
    <w:rsid w:val="000F287F"/>
    <w:rsid w:val="000F452F"/>
    <w:rsid w:val="000F4AC2"/>
    <w:rsid w:val="000F5D11"/>
    <w:rsid w:val="00102BF2"/>
    <w:rsid w:val="00104763"/>
    <w:rsid w:val="0011053C"/>
    <w:rsid w:val="00111848"/>
    <w:rsid w:val="00111AD3"/>
    <w:rsid w:val="001123E4"/>
    <w:rsid w:val="001125C1"/>
    <w:rsid w:val="00112868"/>
    <w:rsid w:val="00113312"/>
    <w:rsid w:val="001142B0"/>
    <w:rsid w:val="00114FB7"/>
    <w:rsid w:val="0011672F"/>
    <w:rsid w:val="0011763A"/>
    <w:rsid w:val="0012036B"/>
    <w:rsid w:val="00120A20"/>
    <w:rsid w:val="00123B9A"/>
    <w:rsid w:val="00125313"/>
    <w:rsid w:val="00125355"/>
    <w:rsid w:val="00127879"/>
    <w:rsid w:val="0013709C"/>
    <w:rsid w:val="0013726C"/>
    <w:rsid w:val="00141133"/>
    <w:rsid w:val="001432BD"/>
    <w:rsid w:val="0014372E"/>
    <w:rsid w:val="00143F1A"/>
    <w:rsid w:val="00145E18"/>
    <w:rsid w:val="0015228F"/>
    <w:rsid w:val="00153D40"/>
    <w:rsid w:val="001554AB"/>
    <w:rsid w:val="00156FB4"/>
    <w:rsid w:val="001605CD"/>
    <w:rsid w:val="00161473"/>
    <w:rsid w:val="00161BC8"/>
    <w:rsid w:val="00161F6B"/>
    <w:rsid w:val="001631D1"/>
    <w:rsid w:val="0016329A"/>
    <w:rsid w:val="00170AB3"/>
    <w:rsid w:val="00170F9D"/>
    <w:rsid w:val="001801B1"/>
    <w:rsid w:val="001810ED"/>
    <w:rsid w:val="00181B82"/>
    <w:rsid w:val="00181C51"/>
    <w:rsid w:val="0018405D"/>
    <w:rsid w:val="00184387"/>
    <w:rsid w:val="00184B4E"/>
    <w:rsid w:val="00184D82"/>
    <w:rsid w:val="00185C80"/>
    <w:rsid w:val="0018731D"/>
    <w:rsid w:val="00190141"/>
    <w:rsid w:val="0019021A"/>
    <w:rsid w:val="0019062A"/>
    <w:rsid w:val="001963F6"/>
    <w:rsid w:val="00196D55"/>
    <w:rsid w:val="0019708E"/>
    <w:rsid w:val="001A30C5"/>
    <w:rsid w:val="001A46A8"/>
    <w:rsid w:val="001A5377"/>
    <w:rsid w:val="001A55D7"/>
    <w:rsid w:val="001A6484"/>
    <w:rsid w:val="001A699C"/>
    <w:rsid w:val="001A707B"/>
    <w:rsid w:val="001A7A72"/>
    <w:rsid w:val="001B0BB1"/>
    <w:rsid w:val="001B2970"/>
    <w:rsid w:val="001B693E"/>
    <w:rsid w:val="001B7474"/>
    <w:rsid w:val="001C17CB"/>
    <w:rsid w:val="001C1D6F"/>
    <w:rsid w:val="001C6E8D"/>
    <w:rsid w:val="001C76DB"/>
    <w:rsid w:val="001D2673"/>
    <w:rsid w:val="001D3496"/>
    <w:rsid w:val="001D3BEB"/>
    <w:rsid w:val="001D3FD8"/>
    <w:rsid w:val="001D532D"/>
    <w:rsid w:val="001D638F"/>
    <w:rsid w:val="001D798B"/>
    <w:rsid w:val="001D7B33"/>
    <w:rsid w:val="001E1A61"/>
    <w:rsid w:val="001E1BD4"/>
    <w:rsid w:val="001E4D10"/>
    <w:rsid w:val="001E4E2C"/>
    <w:rsid w:val="001E6A6C"/>
    <w:rsid w:val="001E7967"/>
    <w:rsid w:val="001F0631"/>
    <w:rsid w:val="001F0755"/>
    <w:rsid w:val="001F0A2F"/>
    <w:rsid w:val="001F185D"/>
    <w:rsid w:val="001F254F"/>
    <w:rsid w:val="002006D1"/>
    <w:rsid w:val="00200852"/>
    <w:rsid w:val="00200A4C"/>
    <w:rsid w:val="0020106C"/>
    <w:rsid w:val="00202224"/>
    <w:rsid w:val="002039B8"/>
    <w:rsid w:val="00205B7C"/>
    <w:rsid w:val="002061C2"/>
    <w:rsid w:val="00207092"/>
    <w:rsid w:val="0020795C"/>
    <w:rsid w:val="002106F5"/>
    <w:rsid w:val="00211DFA"/>
    <w:rsid w:val="00213B8D"/>
    <w:rsid w:val="00213E5F"/>
    <w:rsid w:val="00213EE0"/>
    <w:rsid w:val="002154A8"/>
    <w:rsid w:val="002171D6"/>
    <w:rsid w:val="002206F8"/>
    <w:rsid w:val="0022198C"/>
    <w:rsid w:val="00226D2E"/>
    <w:rsid w:val="0022712F"/>
    <w:rsid w:val="0023185B"/>
    <w:rsid w:val="0023193A"/>
    <w:rsid w:val="00231AED"/>
    <w:rsid w:val="00240A58"/>
    <w:rsid w:val="002448B8"/>
    <w:rsid w:val="002508C0"/>
    <w:rsid w:val="002548DD"/>
    <w:rsid w:val="00255FBF"/>
    <w:rsid w:val="002575C7"/>
    <w:rsid w:val="00262274"/>
    <w:rsid w:val="00262E87"/>
    <w:rsid w:val="0026589B"/>
    <w:rsid w:val="002664D4"/>
    <w:rsid w:val="00271181"/>
    <w:rsid w:val="002714FB"/>
    <w:rsid w:val="00271BDA"/>
    <w:rsid w:val="0027281F"/>
    <w:rsid w:val="00277018"/>
    <w:rsid w:val="0027765C"/>
    <w:rsid w:val="00280FB4"/>
    <w:rsid w:val="00281624"/>
    <w:rsid w:val="002853B0"/>
    <w:rsid w:val="00285CCB"/>
    <w:rsid w:val="00290D89"/>
    <w:rsid w:val="00290FD5"/>
    <w:rsid w:val="002921E6"/>
    <w:rsid w:val="002951DD"/>
    <w:rsid w:val="002A0F16"/>
    <w:rsid w:val="002A12F0"/>
    <w:rsid w:val="002A4373"/>
    <w:rsid w:val="002A45DF"/>
    <w:rsid w:val="002A659F"/>
    <w:rsid w:val="002B0591"/>
    <w:rsid w:val="002B1755"/>
    <w:rsid w:val="002B2456"/>
    <w:rsid w:val="002B7232"/>
    <w:rsid w:val="002B7F8E"/>
    <w:rsid w:val="002C099E"/>
    <w:rsid w:val="002C15C1"/>
    <w:rsid w:val="002C2155"/>
    <w:rsid w:val="002C22F8"/>
    <w:rsid w:val="002C36AA"/>
    <w:rsid w:val="002C4E83"/>
    <w:rsid w:val="002C57C5"/>
    <w:rsid w:val="002C5E5B"/>
    <w:rsid w:val="002C5E8B"/>
    <w:rsid w:val="002D4F52"/>
    <w:rsid w:val="002D56F9"/>
    <w:rsid w:val="002E095A"/>
    <w:rsid w:val="002E1EBE"/>
    <w:rsid w:val="002E3D87"/>
    <w:rsid w:val="002E57A8"/>
    <w:rsid w:val="002E701C"/>
    <w:rsid w:val="002E7455"/>
    <w:rsid w:val="002F0FF9"/>
    <w:rsid w:val="002F1119"/>
    <w:rsid w:val="002F1F36"/>
    <w:rsid w:val="002F4120"/>
    <w:rsid w:val="002F6003"/>
    <w:rsid w:val="00300FE8"/>
    <w:rsid w:val="003036C7"/>
    <w:rsid w:val="00303A12"/>
    <w:rsid w:val="003104D6"/>
    <w:rsid w:val="00312D77"/>
    <w:rsid w:val="003132F2"/>
    <w:rsid w:val="00313B97"/>
    <w:rsid w:val="003156EA"/>
    <w:rsid w:val="00317B17"/>
    <w:rsid w:val="003214EC"/>
    <w:rsid w:val="00326527"/>
    <w:rsid w:val="003273F2"/>
    <w:rsid w:val="00330501"/>
    <w:rsid w:val="00330E8E"/>
    <w:rsid w:val="0033285A"/>
    <w:rsid w:val="00332896"/>
    <w:rsid w:val="003339C2"/>
    <w:rsid w:val="00333D99"/>
    <w:rsid w:val="00333F9D"/>
    <w:rsid w:val="00337359"/>
    <w:rsid w:val="00341947"/>
    <w:rsid w:val="00342FEB"/>
    <w:rsid w:val="003437B1"/>
    <w:rsid w:val="00343D30"/>
    <w:rsid w:val="003449AA"/>
    <w:rsid w:val="0035283B"/>
    <w:rsid w:val="00353CF0"/>
    <w:rsid w:val="003540DD"/>
    <w:rsid w:val="00354842"/>
    <w:rsid w:val="0035536A"/>
    <w:rsid w:val="00355927"/>
    <w:rsid w:val="003575E4"/>
    <w:rsid w:val="00360B11"/>
    <w:rsid w:val="00362CFD"/>
    <w:rsid w:val="00364316"/>
    <w:rsid w:val="003660E6"/>
    <w:rsid w:val="0036729C"/>
    <w:rsid w:val="003706F4"/>
    <w:rsid w:val="00371493"/>
    <w:rsid w:val="0037759B"/>
    <w:rsid w:val="003815D9"/>
    <w:rsid w:val="00381D19"/>
    <w:rsid w:val="00383A4B"/>
    <w:rsid w:val="00386334"/>
    <w:rsid w:val="00386F4C"/>
    <w:rsid w:val="0038734B"/>
    <w:rsid w:val="00387CF9"/>
    <w:rsid w:val="00391958"/>
    <w:rsid w:val="003927CE"/>
    <w:rsid w:val="00393315"/>
    <w:rsid w:val="00394C74"/>
    <w:rsid w:val="00395A14"/>
    <w:rsid w:val="0039653A"/>
    <w:rsid w:val="00397A52"/>
    <w:rsid w:val="003A0E86"/>
    <w:rsid w:val="003A64AE"/>
    <w:rsid w:val="003A6FEA"/>
    <w:rsid w:val="003B399C"/>
    <w:rsid w:val="003B411C"/>
    <w:rsid w:val="003B4FFA"/>
    <w:rsid w:val="003B7192"/>
    <w:rsid w:val="003C03A9"/>
    <w:rsid w:val="003C0A05"/>
    <w:rsid w:val="003C2001"/>
    <w:rsid w:val="003C3B37"/>
    <w:rsid w:val="003C5D86"/>
    <w:rsid w:val="003C6593"/>
    <w:rsid w:val="003D09FE"/>
    <w:rsid w:val="003D31CB"/>
    <w:rsid w:val="003D357E"/>
    <w:rsid w:val="003D4944"/>
    <w:rsid w:val="003D4D88"/>
    <w:rsid w:val="003D58E9"/>
    <w:rsid w:val="003D63B8"/>
    <w:rsid w:val="003D6E80"/>
    <w:rsid w:val="003D7380"/>
    <w:rsid w:val="003D73B2"/>
    <w:rsid w:val="003E201F"/>
    <w:rsid w:val="003E49FB"/>
    <w:rsid w:val="003E67B0"/>
    <w:rsid w:val="003F0815"/>
    <w:rsid w:val="003F0D8C"/>
    <w:rsid w:val="003F1517"/>
    <w:rsid w:val="003F1FC4"/>
    <w:rsid w:val="003F27DA"/>
    <w:rsid w:val="003F5972"/>
    <w:rsid w:val="003F5FC5"/>
    <w:rsid w:val="003F65CC"/>
    <w:rsid w:val="004003D8"/>
    <w:rsid w:val="00400428"/>
    <w:rsid w:val="004036CE"/>
    <w:rsid w:val="004049B0"/>
    <w:rsid w:val="00404EDA"/>
    <w:rsid w:val="004065DE"/>
    <w:rsid w:val="00411A0E"/>
    <w:rsid w:val="00416768"/>
    <w:rsid w:val="0042024A"/>
    <w:rsid w:val="0042073B"/>
    <w:rsid w:val="004234E5"/>
    <w:rsid w:val="004242C7"/>
    <w:rsid w:val="00426654"/>
    <w:rsid w:val="00426694"/>
    <w:rsid w:val="00433E10"/>
    <w:rsid w:val="0043486C"/>
    <w:rsid w:val="00434E18"/>
    <w:rsid w:val="00435BA3"/>
    <w:rsid w:val="00441738"/>
    <w:rsid w:val="004440B7"/>
    <w:rsid w:val="004525EE"/>
    <w:rsid w:val="00454222"/>
    <w:rsid w:val="00456520"/>
    <w:rsid w:val="004565FE"/>
    <w:rsid w:val="00457EB6"/>
    <w:rsid w:val="0046429C"/>
    <w:rsid w:val="00465935"/>
    <w:rsid w:val="00466925"/>
    <w:rsid w:val="00467723"/>
    <w:rsid w:val="00471923"/>
    <w:rsid w:val="00472417"/>
    <w:rsid w:val="00474653"/>
    <w:rsid w:val="00475DA2"/>
    <w:rsid w:val="004761E1"/>
    <w:rsid w:val="004766D7"/>
    <w:rsid w:val="00477426"/>
    <w:rsid w:val="00477466"/>
    <w:rsid w:val="00480F8F"/>
    <w:rsid w:val="0048368A"/>
    <w:rsid w:val="004840D3"/>
    <w:rsid w:val="00485079"/>
    <w:rsid w:val="004850D8"/>
    <w:rsid w:val="0049147B"/>
    <w:rsid w:val="00491EF9"/>
    <w:rsid w:val="00495073"/>
    <w:rsid w:val="0049574D"/>
    <w:rsid w:val="00496051"/>
    <w:rsid w:val="004A2DBD"/>
    <w:rsid w:val="004A4288"/>
    <w:rsid w:val="004A50A5"/>
    <w:rsid w:val="004B1901"/>
    <w:rsid w:val="004B3540"/>
    <w:rsid w:val="004B4C0C"/>
    <w:rsid w:val="004B4DD9"/>
    <w:rsid w:val="004B653A"/>
    <w:rsid w:val="004B6EBA"/>
    <w:rsid w:val="004B7438"/>
    <w:rsid w:val="004B7984"/>
    <w:rsid w:val="004B7F23"/>
    <w:rsid w:val="004C1E0D"/>
    <w:rsid w:val="004C425E"/>
    <w:rsid w:val="004C596B"/>
    <w:rsid w:val="004C7A47"/>
    <w:rsid w:val="004D1B5C"/>
    <w:rsid w:val="004D1D93"/>
    <w:rsid w:val="004D22C5"/>
    <w:rsid w:val="004D22EF"/>
    <w:rsid w:val="004D2C56"/>
    <w:rsid w:val="004D33CF"/>
    <w:rsid w:val="004D34BC"/>
    <w:rsid w:val="004D5002"/>
    <w:rsid w:val="004D5AE9"/>
    <w:rsid w:val="004D6497"/>
    <w:rsid w:val="004D7633"/>
    <w:rsid w:val="004E0336"/>
    <w:rsid w:val="004E036E"/>
    <w:rsid w:val="004E2C22"/>
    <w:rsid w:val="004E2E55"/>
    <w:rsid w:val="004E371F"/>
    <w:rsid w:val="004E5056"/>
    <w:rsid w:val="004F083A"/>
    <w:rsid w:val="004F11AF"/>
    <w:rsid w:val="004F1B79"/>
    <w:rsid w:val="004F2551"/>
    <w:rsid w:val="004F31B1"/>
    <w:rsid w:val="004F3C8B"/>
    <w:rsid w:val="004F6C6C"/>
    <w:rsid w:val="004F7906"/>
    <w:rsid w:val="004F79B9"/>
    <w:rsid w:val="00500C5D"/>
    <w:rsid w:val="005026CA"/>
    <w:rsid w:val="00504E96"/>
    <w:rsid w:val="00505D2C"/>
    <w:rsid w:val="00505F43"/>
    <w:rsid w:val="00506297"/>
    <w:rsid w:val="00513AE9"/>
    <w:rsid w:val="0051520A"/>
    <w:rsid w:val="00515DD2"/>
    <w:rsid w:val="00516D81"/>
    <w:rsid w:val="005208C2"/>
    <w:rsid w:val="005209FB"/>
    <w:rsid w:val="00521D0D"/>
    <w:rsid w:val="00523247"/>
    <w:rsid w:val="00525935"/>
    <w:rsid w:val="00525D43"/>
    <w:rsid w:val="00526E54"/>
    <w:rsid w:val="00530886"/>
    <w:rsid w:val="00530950"/>
    <w:rsid w:val="005334BE"/>
    <w:rsid w:val="00533E3C"/>
    <w:rsid w:val="00534A76"/>
    <w:rsid w:val="00535730"/>
    <w:rsid w:val="005358AC"/>
    <w:rsid w:val="00536244"/>
    <w:rsid w:val="00537ECE"/>
    <w:rsid w:val="00540C72"/>
    <w:rsid w:val="00540D07"/>
    <w:rsid w:val="00541123"/>
    <w:rsid w:val="00547F97"/>
    <w:rsid w:val="00554A75"/>
    <w:rsid w:val="00556DEF"/>
    <w:rsid w:val="0055782F"/>
    <w:rsid w:val="0056077B"/>
    <w:rsid w:val="00563616"/>
    <w:rsid w:val="00566989"/>
    <w:rsid w:val="0056713C"/>
    <w:rsid w:val="00567C00"/>
    <w:rsid w:val="00572562"/>
    <w:rsid w:val="00572DDF"/>
    <w:rsid w:val="005737B7"/>
    <w:rsid w:val="00577D80"/>
    <w:rsid w:val="00580C6C"/>
    <w:rsid w:val="005849CE"/>
    <w:rsid w:val="00584D29"/>
    <w:rsid w:val="00586088"/>
    <w:rsid w:val="00592A1A"/>
    <w:rsid w:val="00593850"/>
    <w:rsid w:val="00595764"/>
    <w:rsid w:val="005974CE"/>
    <w:rsid w:val="005A04C8"/>
    <w:rsid w:val="005A13A6"/>
    <w:rsid w:val="005A483C"/>
    <w:rsid w:val="005A5307"/>
    <w:rsid w:val="005A625D"/>
    <w:rsid w:val="005A6FBD"/>
    <w:rsid w:val="005B0316"/>
    <w:rsid w:val="005B1821"/>
    <w:rsid w:val="005B224D"/>
    <w:rsid w:val="005B236A"/>
    <w:rsid w:val="005B2981"/>
    <w:rsid w:val="005B44C7"/>
    <w:rsid w:val="005C00A4"/>
    <w:rsid w:val="005C0294"/>
    <w:rsid w:val="005C0996"/>
    <w:rsid w:val="005C30B9"/>
    <w:rsid w:val="005C6D8C"/>
    <w:rsid w:val="005D274D"/>
    <w:rsid w:val="005D6A8D"/>
    <w:rsid w:val="005E115A"/>
    <w:rsid w:val="005E1764"/>
    <w:rsid w:val="005E248A"/>
    <w:rsid w:val="005E357D"/>
    <w:rsid w:val="005E362B"/>
    <w:rsid w:val="005E3AAE"/>
    <w:rsid w:val="005E7341"/>
    <w:rsid w:val="005E7A9B"/>
    <w:rsid w:val="005F106D"/>
    <w:rsid w:val="005F3012"/>
    <w:rsid w:val="005F7849"/>
    <w:rsid w:val="005F7C6D"/>
    <w:rsid w:val="005F7DAE"/>
    <w:rsid w:val="0060062C"/>
    <w:rsid w:val="00605B7D"/>
    <w:rsid w:val="006064A4"/>
    <w:rsid w:val="00610306"/>
    <w:rsid w:val="0061094D"/>
    <w:rsid w:val="0061130F"/>
    <w:rsid w:val="00612B99"/>
    <w:rsid w:val="0061486A"/>
    <w:rsid w:val="0061668A"/>
    <w:rsid w:val="00616D31"/>
    <w:rsid w:val="00620C5C"/>
    <w:rsid w:val="0062535E"/>
    <w:rsid w:val="006278B7"/>
    <w:rsid w:val="00627EB6"/>
    <w:rsid w:val="0063260D"/>
    <w:rsid w:val="00632F5E"/>
    <w:rsid w:val="00633340"/>
    <w:rsid w:val="006374E5"/>
    <w:rsid w:val="0063777C"/>
    <w:rsid w:val="00640176"/>
    <w:rsid w:val="00640345"/>
    <w:rsid w:val="00642CA2"/>
    <w:rsid w:val="006432D6"/>
    <w:rsid w:val="00643E64"/>
    <w:rsid w:val="00644577"/>
    <w:rsid w:val="00644B0E"/>
    <w:rsid w:val="006464CC"/>
    <w:rsid w:val="00647677"/>
    <w:rsid w:val="0064789D"/>
    <w:rsid w:val="006504A2"/>
    <w:rsid w:val="00650FD3"/>
    <w:rsid w:val="00651AF7"/>
    <w:rsid w:val="006526A2"/>
    <w:rsid w:val="00653A7A"/>
    <w:rsid w:val="00653FBA"/>
    <w:rsid w:val="00654208"/>
    <w:rsid w:val="00654D06"/>
    <w:rsid w:val="00656A7C"/>
    <w:rsid w:val="0066270B"/>
    <w:rsid w:val="00662816"/>
    <w:rsid w:val="00663BF1"/>
    <w:rsid w:val="00665526"/>
    <w:rsid w:val="00665E1F"/>
    <w:rsid w:val="00666394"/>
    <w:rsid w:val="00666A58"/>
    <w:rsid w:val="00667882"/>
    <w:rsid w:val="00670B5B"/>
    <w:rsid w:val="006742BE"/>
    <w:rsid w:val="006768E4"/>
    <w:rsid w:val="006813DD"/>
    <w:rsid w:val="006824CF"/>
    <w:rsid w:val="006829DA"/>
    <w:rsid w:val="00683688"/>
    <w:rsid w:val="00683B6A"/>
    <w:rsid w:val="00685776"/>
    <w:rsid w:val="006879A7"/>
    <w:rsid w:val="00690402"/>
    <w:rsid w:val="00695832"/>
    <w:rsid w:val="00695A28"/>
    <w:rsid w:val="00695AF2"/>
    <w:rsid w:val="00696F73"/>
    <w:rsid w:val="006A0C2A"/>
    <w:rsid w:val="006A1B6B"/>
    <w:rsid w:val="006A2BD4"/>
    <w:rsid w:val="006A3B8D"/>
    <w:rsid w:val="006A4B97"/>
    <w:rsid w:val="006A5D3D"/>
    <w:rsid w:val="006A5F53"/>
    <w:rsid w:val="006A7D20"/>
    <w:rsid w:val="006B2CC5"/>
    <w:rsid w:val="006B2D6F"/>
    <w:rsid w:val="006B3205"/>
    <w:rsid w:val="006B4995"/>
    <w:rsid w:val="006B557E"/>
    <w:rsid w:val="006B699D"/>
    <w:rsid w:val="006B78CC"/>
    <w:rsid w:val="006C0332"/>
    <w:rsid w:val="006C0FDB"/>
    <w:rsid w:val="006C1472"/>
    <w:rsid w:val="006C7975"/>
    <w:rsid w:val="006D0416"/>
    <w:rsid w:val="006D06DA"/>
    <w:rsid w:val="006D0A7D"/>
    <w:rsid w:val="006D36F2"/>
    <w:rsid w:val="006D522A"/>
    <w:rsid w:val="006D6189"/>
    <w:rsid w:val="006D770A"/>
    <w:rsid w:val="006E452F"/>
    <w:rsid w:val="006E50CE"/>
    <w:rsid w:val="006E58CC"/>
    <w:rsid w:val="006E645F"/>
    <w:rsid w:val="006E7416"/>
    <w:rsid w:val="006F0E48"/>
    <w:rsid w:val="006F2942"/>
    <w:rsid w:val="006F2C37"/>
    <w:rsid w:val="006F2F9C"/>
    <w:rsid w:val="006F5E3A"/>
    <w:rsid w:val="006F783A"/>
    <w:rsid w:val="006F789A"/>
    <w:rsid w:val="00702AE3"/>
    <w:rsid w:val="00704E5A"/>
    <w:rsid w:val="0070573F"/>
    <w:rsid w:val="00705902"/>
    <w:rsid w:val="007079EC"/>
    <w:rsid w:val="00714987"/>
    <w:rsid w:val="0071563C"/>
    <w:rsid w:val="00724FE2"/>
    <w:rsid w:val="00726C30"/>
    <w:rsid w:val="0073113E"/>
    <w:rsid w:val="0073170A"/>
    <w:rsid w:val="00732AC1"/>
    <w:rsid w:val="00732EC1"/>
    <w:rsid w:val="0073384B"/>
    <w:rsid w:val="0073414C"/>
    <w:rsid w:val="00737065"/>
    <w:rsid w:val="00737688"/>
    <w:rsid w:val="00741E89"/>
    <w:rsid w:val="0074236F"/>
    <w:rsid w:val="007454D4"/>
    <w:rsid w:val="00746789"/>
    <w:rsid w:val="00746A4C"/>
    <w:rsid w:val="007471E3"/>
    <w:rsid w:val="007502E2"/>
    <w:rsid w:val="00751223"/>
    <w:rsid w:val="00751D77"/>
    <w:rsid w:val="00753ABC"/>
    <w:rsid w:val="007575AE"/>
    <w:rsid w:val="007575F4"/>
    <w:rsid w:val="00761CB5"/>
    <w:rsid w:val="00762DFF"/>
    <w:rsid w:val="00767EF4"/>
    <w:rsid w:val="00770EEE"/>
    <w:rsid w:val="0077140E"/>
    <w:rsid w:val="00772C5D"/>
    <w:rsid w:val="00772EF6"/>
    <w:rsid w:val="00773843"/>
    <w:rsid w:val="00774656"/>
    <w:rsid w:val="007757E2"/>
    <w:rsid w:val="00776121"/>
    <w:rsid w:val="00776C3A"/>
    <w:rsid w:val="007771EB"/>
    <w:rsid w:val="0077745F"/>
    <w:rsid w:val="007801B5"/>
    <w:rsid w:val="007807BD"/>
    <w:rsid w:val="007819C9"/>
    <w:rsid w:val="007822D8"/>
    <w:rsid w:val="00786385"/>
    <w:rsid w:val="0078668F"/>
    <w:rsid w:val="00787B0E"/>
    <w:rsid w:val="007906A7"/>
    <w:rsid w:val="00790824"/>
    <w:rsid w:val="00790E5F"/>
    <w:rsid w:val="00792DB8"/>
    <w:rsid w:val="00793992"/>
    <w:rsid w:val="00796B43"/>
    <w:rsid w:val="007A1B10"/>
    <w:rsid w:val="007A25D8"/>
    <w:rsid w:val="007A419E"/>
    <w:rsid w:val="007A46BD"/>
    <w:rsid w:val="007A556A"/>
    <w:rsid w:val="007A6DA3"/>
    <w:rsid w:val="007A7355"/>
    <w:rsid w:val="007A7C17"/>
    <w:rsid w:val="007B0266"/>
    <w:rsid w:val="007B23D4"/>
    <w:rsid w:val="007B2A99"/>
    <w:rsid w:val="007B3136"/>
    <w:rsid w:val="007B417D"/>
    <w:rsid w:val="007B4C2C"/>
    <w:rsid w:val="007B5E32"/>
    <w:rsid w:val="007B7231"/>
    <w:rsid w:val="007C13EA"/>
    <w:rsid w:val="007C291D"/>
    <w:rsid w:val="007C45E8"/>
    <w:rsid w:val="007C4F57"/>
    <w:rsid w:val="007C564C"/>
    <w:rsid w:val="007C5F31"/>
    <w:rsid w:val="007C69EA"/>
    <w:rsid w:val="007C79D3"/>
    <w:rsid w:val="007C7EDA"/>
    <w:rsid w:val="007D1074"/>
    <w:rsid w:val="007D2B14"/>
    <w:rsid w:val="007D2EBA"/>
    <w:rsid w:val="007D30EE"/>
    <w:rsid w:val="007D37D4"/>
    <w:rsid w:val="007D43BB"/>
    <w:rsid w:val="007D4D75"/>
    <w:rsid w:val="007D6C9A"/>
    <w:rsid w:val="007E1486"/>
    <w:rsid w:val="007E1C90"/>
    <w:rsid w:val="007E272C"/>
    <w:rsid w:val="007E2C63"/>
    <w:rsid w:val="007E2CCE"/>
    <w:rsid w:val="007E2F3E"/>
    <w:rsid w:val="007E39D7"/>
    <w:rsid w:val="007E3B85"/>
    <w:rsid w:val="007E4D8D"/>
    <w:rsid w:val="007E4E26"/>
    <w:rsid w:val="007E5DFB"/>
    <w:rsid w:val="007E7F0E"/>
    <w:rsid w:val="007F0606"/>
    <w:rsid w:val="007F25DC"/>
    <w:rsid w:val="007F2F63"/>
    <w:rsid w:val="007F796B"/>
    <w:rsid w:val="00800608"/>
    <w:rsid w:val="00802C78"/>
    <w:rsid w:val="00806F8E"/>
    <w:rsid w:val="0081113A"/>
    <w:rsid w:val="00815095"/>
    <w:rsid w:val="0081526F"/>
    <w:rsid w:val="00815399"/>
    <w:rsid w:val="008229BD"/>
    <w:rsid w:val="00824044"/>
    <w:rsid w:val="00824101"/>
    <w:rsid w:val="008255A8"/>
    <w:rsid w:val="008260B8"/>
    <w:rsid w:val="008268AE"/>
    <w:rsid w:val="00826AB5"/>
    <w:rsid w:val="00827846"/>
    <w:rsid w:val="0083012A"/>
    <w:rsid w:val="008301CE"/>
    <w:rsid w:val="00830F9F"/>
    <w:rsid w:val="008318A9"/>
    <w:rsid w:val="00834BBE"/>
    <w:rsid w:val="0083678E"/>
    <w:rsid w:val="008404BC"/>
    <w:rsid w:val="00840A09"/>
    <w:rsid w:val="00843167"/>
    <w:rsid w:val="008434D2"/>
    <w:rsid w:val="00843E66"/>
    <w:rsid w:val="00846BBE"/>
    <w:rsid w:val="0085052D"/>
    <w:rsid w:val="008517FC"/>
    <w:rsid w:val="00851E84"/>
    <w:rsid w:val="00853A3F"/>
    <w:rsid w:val="00853A6D"/>
    <w:rsid w:val="00854F6E"/>
    <w:rsid w:val="0085532E"/>
    <w:rsid w:val="00856315"/>
    <w:rsid w:val="00856C1C"/>
    <w:rsid w:val="008605BD"/>
    <w:rsid w:val="008619E2"/>
    <w:rsid w:val="00862563"/>
    <w:rsid w:val="00863535"/>
    <w:rsid w:val="00865F45"/>
    <w:rsid w:val="008677D6"/>
    <w:rsid w:val="00867912"/>
    <w:rsid w:val="008725D8"/>
    <w:rsid w:val="00872CEC"/>
    <w:rsid w:val="008758A0"/>
    <w:rsid w:val="00876C9F"/>
    <w:rsid w:val="00877F73"/>
    <w:rsid w:val="00877F82"/>
    <w:rsid w:val="0088438E"/>
    <w:rsid w:val="0088499C"/>
    <w:rsid w:val="00890BB9"/>
    <w:rsid w:val="008925C4"/>
    <w:rsid w:val="0089372C"/>
    <w:rsid w:val="00894D29"/>
    <w:rsid w:val="00897377"/>
    <w:rsid w:val="008A0DBB"/>
    <w:rsid w:val="008A2AA6"/>
    <w:rsid w:val="008A5125"/>
    <w:rsid w:val="008A5C3A"/>
    <w:rsid w:val="008A5D8A"/>
    <w:rsid w:val="008A752D"/>
    <w:rsid w:val="008A7B68"/>
    <w:rsid w:val="008B1B90"/>
    <w:rsid w:val="008B2AAD"/>
    <w:rsid w:val="008B2FE9"/>
    <w:rsid w:val="008B3E83"/>
    <w:rsid w:val="008B4932"/>
    <w:rsid w:val="008B58FD"/>
    <w:rsid w:val="008B5B5E"/>
    <w:rsid w:val="008B778F"/>
    <w:rsid w:val="008C0E35"/>
    <w:rsid w:val="008C2904"/>
    <w:rsid w:val="008C4B38"/>
    <w:rsid w:val="008C62B9"/>
    <w:rsid w:val="008D1FA5"/>
    <w:rsid w:val="008D3281"/>
    <w:rsid w:val="008D4305"/>
    <w:rsid w:val="008D46F8"/>
    <w:rsid w:val="008D4719"/>
    <w:rsid w:val="008E0246"/>
    <w:rsid w:val="008E09BE"/>
    <w:rsid w:val="008E0CBE"/>
    <w:rsid w:val="008E10C3"/>
    <w:rsid w:val="008E1670"/>
    <w:rsid w:val="008E20B7"/>
    <w:rsid w:val="008E2E65"/>
    <w:rsid w:val="008E567A"/>
    <w:rsid w:val="008E5BAC"/>
    <w:rsid w:val="008E5E0D"/>
    <w:rsid w:val="008F053B"/>
    <w:rsid w:val="008F1395"/>
    <w:rsid w:val="008F2B1A"/>
    <w:rsid w:val="008F3A1C"/>
    <w:rsid w:val="008F5046"/>
    <w:rsid w:val="008F51E4"/>
    <w:rsid w:val="008F69D8"/>
    <w:rsid w:val="00900FA8"/>
    <w:rsid w:val="009036E7"/>
    <w:rsid w:val="00903A22"/>
    <w:rsid w:val="00903D33"/>
    <w:rsid w:val="00904195"/>
    <w:rsid w:val="009077B7"/>
    <w:rsid w:val="00907A20"/>
    <w:rsid w:val="00910688"/>
    <w:rsid w:val="00911136"/>
    <w:rsid w:val="009156F1"/>
    <w:rsid w:val="00915D9E"/>
    <w:rsid w:val="00920C57"/>
    <w:rsid w:val="00920EA9"/>
    <w:rsid w:val="009214B4"/>
    <w:rsid w:val="00922340"/>
    <w:rsid w:val="00922DAA"/>
    <w:rsid w:val="009247C9"/>
    <w:rsid w:val="00925872"/>
    <w:rsid w:val="009260A5"/>
    <w:rsid w:val="00927A91"/>
    <w:rsid w:val="00932EDF"/>
    <w:rsid w:val="00934627"/>
    <w:rsid w:val="00936EC3"/>
    <w:rsid w:val="00940097"/>
    <w:rsid w:val="009425B2"/>
    <w:rsid w:val="00942C76"/>
    <w:rsid w:val="00944C37"/>
    <w:rsid w:val="00945692"/>
    <w:rsid w:val="009466D5"/>
    <w:rsid w:val="00950B75"/>
    <w:rsid w:val="00952587"/>
    <w:rsid w:val="00952597"/>
    <w:rsid w:val="009531ED"/>
    <w:rsid w:val="00953A98"/>
    <w:rsid w:val="0095431F"/>
    <w:rsid w:val="00954949"/>
    <w:rsid w:val="00954D0D"/>
    <w:rsid w:val="00960316"/>
    <w:rsid w:val="00963DC7"/>
    <w:rsid w:val="00965568"/>
    <w:rsid w:val="0096622D"/>
    <w:rsid w:val="00967915"/>
    <w:rsid w:val="009739CE"/>
    <w:rsid w:val="00974BBA"/>
    <w:rsid w:val="00975800"/>
    <w:rsid w:val="009761C3"/>
    <w:rsid w:val="009777C9"/>
    <w:rsid w:val="0098389A"/>
    <w:rsid w:val="009905A2"/>
    <w:rsid w:val="00993C90"/>
    <w:rsid w:val="00994735"/>
    <w:rsid w:val="00994D19"/>
    <w:rsid w:val="009952F7"/>
    <w:rsid w:val="009965CF"/>
    <w:rsid w:val="009A0DE6"/>
    <w:rsid w:val="009A142C"/>
    <w:rsid w:val="009A161D"/>
    <w:rsid w:val="009A4EB2"/>
    <w:rsid w:val="009A66CA"/>
    <w:rsid w:val="009A6D48"/>
    <w:rsid w:val="009B3DAA"/>
    <w:rsid w:val="009B6B2D"/>
    <w:rsid w:val="009B7921"/>
    <w:rsid w:val="009C074D"/>
    <w:rsid w:val="009C30D0"/>
    <w:rsid w:val="009C37DD"/>
    <w:rsid w:val="009C518F"/>
    <w:rsid w:val="009C72CB"/>
    <w:rsid w:val="009C767C"/>
    <w:rsid w:val="009C7BD4"/>
    <w:rsid w:val="009C7D00"/>
    <w:rsid w:val="009D0019"/>
    <w:rsid w:val="009D10C6"/>
    <w:rsid w:val="009D1CBD"/>
    <w:rsid w:val="009D50CE"/>
    <w:rsid w:val="009D517E"/>
    <w:rsid w:val="009D5429"/>
    <w:rsid w:val="009D6550"/>
    <w:rsid w:val="009D65DC"/>
    <w:rsid w:val="009D6C0A"/>
    <w:rsid w:val="009E01CE"/>
    <w:rsid w:val="009E04C2"/>
    <w:rsid w:val="009E23F3"/>
    <w:rsid w:val="009E411F"/>
    <w:rsid w:val="009E425D"/>
    <w:rsid w:val="009E50A8"/>
    <w:rsid w:val="009E59FC"/>
    <w:rsid w:val="009E5D2C"/>
    <w:rsid w:val="009F14D0"/>
    <w:rsid w:val="009F1C32"/>
    <w:rsid w:val="009F234B"/>
    <w:rsid w:val="009F36B0"/>
    <w:rsid w:val="009F3A08"/>
    <w:rsid w:val="009F5D0E"/>
    <w:rsid w:val="009F6169"/>
    <w:rsid w:val="009F69B2"/>
    <w:rsid w:val="009F7F5E"/>
    <w:rsid w:val="00A03149"/>
    <w:rsid w:val="00A05C19"/>
    <w:rsid w:val="00A071B6"/>
    <w:rsid w:val="00A10285"/>
    <w:rsid w:val="00A1070D"/>
    <w:rsid w:val="00A1364E"/>
    <w:rsid w:val="00A13C2F"/>
    <w:rsid w:val="00A1616E"/>
    <w:rsid w:val="00A20071"/>
    <w:rsid w:val="00A22522"/>
    <w:rsid w:val="00A22B17"/>
    <w:rsid w:val="00A2310D"/>
    <w:rsid w:val="00A24BD8"/>
    <w:rsid w:val="00A25814"/>
    <w:rsid w:val="00A25872"/>
    <w:rsid w:val="00A26938"/>
    <w:rsid w:val="00A30EAA"/>
    <w:rsid w:val="00A32813"/>
    <w:rsid w:val="00A34071"/>
    <w:rsid w:val="00A405A0"/>
    <w:rsid w:val="00A41F58"/>
    <w:rsid w:val="00A41FA9"/>
    <w:rsid w:val="00A42420"/>
    <w:rsid w:val="00A42573"/>
    <w:rsid w:val="00A42B09"/>
    <w:rsid w:val="00A5005D"/>
    <w:rsid w:val="00A5133E"/>
    <w:rsid w:val="00A51360"/>
    <w:rsid w:val="00A541DE"/>
    <w:rsid w:val="00A54251"/>
    <w:rsid w:val="00A55D61"/>
    <w:rsid w:val="00A55FFD"/>
    <w:rsid w:val="00A56183"/>
    <w:rsid w:val="00A5695E"/>
    <w:rsid w:val="00A615CA"/>
    <w:rsid w:val="00A61F71"/>
    <w:rsid w:val="00A624D3"/>
    <w:rsid w:val="00A6548D"/>
    <w:rsid w:val="00A668B2"/>
    <w:rsid w:val="00A71645"/>
    <w:rsid w:val="00A73117"/>
    <w:rsid w:val="00A73E6E"/>
    <w:rsid w:val="00A73FEA"/>
    <w:rsid w:val="00A768CE"/>
    <w:rsid w:val="00A803AF"/>
    <w:rsid w:val="00A80518"/>
    <w:rsid w:val="00A80A92"/>
    <w:rsid w:val="00A8280E"/>
    <w:rsid w:val="00A83ACD"/>
    <w:rsid w:val="00A9101F"/>
    <w:rsid w:val="00A9795C"/>
    <w:rsid w:val="00AA15C1"/>
    <w:rsid w:val="00AA2949"/>
    <w:rsid w:val="00AA42E2"/>
    <w:rsid w:val="00AA470D"/>
    <w:rsid w:val="00AA4A29"/>
    <w:rsid w:val="00AA6171"/>
    <w:rsid w:val="00AA67DE"/>
    <w:rsid w:val="00AA7087"/>
    <w:rsid w:val="00AA7113"/>
    <w:rsid w:val="00AB055B"/>
    <w:rsid w:val="00AB0942"/>
    <w:rsid w:val="00AB0C7A"/>
    <w:rsid w:val="00AB108F"/>
    <w:rsid w:val="00AB1468"/>
    <w:rsid w:val="00AB6A76"/>
    <w:rsid w:val="00AC274B"/>
    <w:rsid w:val="00AC2C27"/>
    <w:rsid w:val="00AC3B61"/>
    <w:rsid w:val="00AC3F46"/>
    <w:rsid w:val="00AC675D"/>
    <w:rsid w:val="00AC6C64"/>
    <w:rsid w:val="00AC7222"/>
    <w:rsid w:val="00AC737C"/>
    <w:rsid w:val="00AD08C6"/>
    <w:rsid w:val="00AD0C94"/>
    <w:rsid w:val="00AD1608"/>
    <w:rsid w:val="00AD1678"/>
    <w:rsid w:val="00AD2E0E"/>
    <w:rsid w:val="00AD330A"/>
    <w:rsid w:val="00AD4AC3"/>
    <w:rsid w:val="00AD4E1A"/>
    <w:rsid w:val="00AD56FA"/>
    <w:rsid w:val="00AD6CE1"/>
    <w:rsid w:val="00AD7103"/>
    <w:rsid w:val="00AE2561"/>
    <w:rsid w:val="00AE320D"/>
    <w:rsid w:val="00AE542F"/>
    <w:rsid w:val="00AF41BC"/>
    <w:rsid w:val="00AF57E6"/>
    <w:rsid w:val="00AF5FF9"/>
    <w:rsid w:val="00B03717"/>
    <w:rsid w:val="00B04CD6"/>
    <w:rsid w:val="00B0533D"/>
    <w:rsid w:val="00B077DF"/>
    <w:rsid w:val="00B10F4A"/>
    <w:rsid w:val="00B12B54"/>
    <w:rsid w:val="00B13FF2"/>
    <w:rsid w:val="00B14DDC"/>
    <w:rsid w:val="00B152F4"/>
    <w:rsid w:val="00B22A02"/>
    <w:rsid w:val="00B313DB"/>
    <w:rsid w:val="00B32C31"/>
    <w:rsid w:val="00B337AE"/>
    <w:rsid w:val="00B3768C"/>
    <w:rsid w:val="00B41DEE"/>
    <w:rsid w:val="00B46F43"/>
    <w:rsid w:val="00B50E3E"/>
    <w:rsid w:val="00B5332E"/>
    <w:rsid w:val="00B6281E"/>
    <w:rsid w:val="00B62FDD"/>
    <w:rsid w:val="00B63444"/>
    <w:rsid w:val="00B6430A"/>
    <w:rsid w:val="00B6527F"/>
    <w:rsid w:val="00B67671"/>
    <w:rsid w:val="00B70A20"/>
    <w:rsid w:val="00B7141F"/>
    <w:rsid w:val="00B71672"/>
    <w:rsid w:val="00B71687"/>
    <w:rsid w:val="00B7384D"/>
    <w:rsid w:val="00B75D41"/>
    <w:rsid w:val="00B77DAC"/>
    <w:rsid w:val="00B81C5B"/>
    <w:rsid w:val="00B833AF"/>
    <w:rsid w:val="00B83D65"/>
    <w:rsid w:val="00B8447D"/>
    <w:rsid w:val="00B84502"/>
    <w:rsid w:val="00B85AC6"/>
    <w:rsid w:val="00B86FB2"/>
    <w:rsid w:val="00B87D96"/>
    <w:rsid w:val="00B9187B"/>
    <w:rsid w:val="00B9380E"/>
    <w:rsid w:val="00B9429F"/>
    <w:rsid w:val="00B96EC2"/>
    <w:rsid w:val="00BA2F78"/>
    <w:rsid w:val="00BA3428"/>
    <w:rsid w:val="00BA4BEA"/>
    <w:rsid w:val="00BA5A8F"/>
    <w:rsid w:val="00BA7E3B"/>
    <w:rsid w:val="00BB2DF9"/>
    <w:rsid w:val="00BB4D27"/>
    <w:rsid w:val="00BB5135"/>
    <w:rsid w:val="00BB6A99"/>
    <w:rsid w:val="00BC00C3"/>
    <w:rsid w:val="00BC2010"/>
    <w:rsid w:val="00BC214D"/>
    <w:rsid w:val="00BC2325"/>
    <w:rsid w:val="00BC26B0"/>
    <w:rsid w:val="00BC40B8"/>
    <w:rsid w:val="00BC4BEF"/>
    <w:rsid w:val="00BC5598"/>
    <w:rsid w:val="00BD13D9"/>
    <w:rsid w:val="00BD1BD3"/>
    <w:rsid w:val="00BD285D"/>
    <w:rsid w:val="00BD2ED1"/>
    <w:rsid w:val="00BD35E4"/>
    <w:rsid w:val="00BD5899"/>
    <w:rsid w:val="00BE0B08"/>
    <w:rsid w:val="00BE2CA5"/>
    <w:rsid w:val="00BE7E89"/>
    <w:rsid w:val="00BF17F4"/>
    <w:rsid w:val="00BF5264"/>
    <w:rsid w:val="00BF7174"/>
    <w:rsid w:val="00C01438"/>
    <w:rsid w:val="00C01566"/>
    <w:rsid w:val="00C02A18"/>
    <w:rsid w:val="00C02F69"/>
    <w:rsid w:val="00C03994"/>
    <w:rsid w:val="00C04547"/>
    <w:rsid w:val="00C056C5"/>
    <w:rsid w:val="00C13808"/>
    <w:rsid w:val="00C15FC8"/>
    <w:rsid w:val="00C17DD9"/>
    <w:rsid w:val="00C20183"/>
    <w:rsid w:val="00C22965"/>
    <w:rsid w:val="00C248EA"/>
    <w:rsid w:val="00C26D91"/>
    <w:rsid w:val="00C300BE"/>
    <w:rsid w:val="00C33078"/>
    <w:rsid w:val="00C344B0"/>
    <w:rsid w:val="00C3688D"/>
    <w:rsid w:val="00C36F78"/>
    <w:rsid w:val="00C37848"/>
    <w:rsid w:val="00C37FFA"/>
    <w:rsid w:val="00C40EA4"/>
    <w:rsid w:val="00C42B8E"/>
    <w:rsid w:val="00C44C99"/>
    <w:rsid w:val="00C44FE0"/>
    <w:rsid w:val="00C458D3"/>
    <w:rsid w:val="00C46ED7"/>
    <w:rsid w:val="00C47683"/>
    <w:rsid w:val="00C50024"/>
    <w:rsid w:val="00C51056"/>
    <w:rsid w:val="00C516FC"/>
    <w:rsid w:val="00C51F31"/>
    <w:rsid w:val="00C52FCE"/>
    <w:rsid w:val="00C55339"/>
    <w:rsid w:val="00C55399"/>
    <w:rsid w:val="00C55650"/>
    <w:rsid w:val="00C56101"/>
    <w:rsid w:val="00C56CC6"/>
    <w:rsid w:val="00C57F40"/>
    <w:rsid w:val="00C60E64"/>
    <w:rsid w:val="00C61729"/>
    <w:rsid w:val="00C62409"/>
    <w:rsid w:val="00C65EE9"/>
    <w:rsid w:val="00C67487"/>
    <w:rsid w:val="00C70C7D"/>
    <w:rsid w:val="00C71250"/>
    <w:rsid w:val="00C71CDE"/>
    <w:rsid w:val="00C72311"/>
    <w:rsid w:val="00C73739"/>
    <w:rsid w:val="00C73E96"/>
    <w:rsid w:val="00C74C68"/>
    <w:rsid w:val="00C75763"/>
    <w:rsid w:val="00C771D3"/>
    <w:rsid w:val="00C77A21"/>
    <w:rsid w:val="00C80964"/>
    <w:rsid w:val="00C81C77"/>
    <w:rsid w:val="00C84BF8"/>
    <w:rsid w:val="00C90280"/>
    <w:rsid w:val="00C90A86"/>
    <w:rsid w:val="00C9584F"/>
    <w:rsid w:val="00C9644A"/>
    <w:rsid w:val="00C97226"/>
    <w:rsid w:val="00C974DD"/>
    <w:rsid w:val="00CA136B"/>
    <w:rsid w:val="00CA179E"/>
    <w:rsid w:val="00CA1A03"/>
    <w:rsid w:val="00CA5057"/>
    <w:rsid w:val="00CA5A3D"/>
    <w:rsid w:val="00CA6979"/>
    <w:rsid w:val="00CA79BD"/>
    <w:rsid w:val="00CB126F"/>
    <w:rsid w:val="00CB21A5"/>
    <w:rsid w:val="00CB28D0"/>
    <w:rsid w:val="00CB2BD7"/>
    <w:rsid w:val="00CB3FE7"/>
    <w:rsid w:val="00CB48B0"/>
    <w:rsid w:val="00CB631D"/>
    <w:rsid w:val="00CC1103"/>
    <w:rsid w:val="00CC12D7"/>
    <w:rsid w:val="00CC1F2C"/>
    <w:rsid w:val="00CC394B"/>
    <w:rsid w:val="00CC4D02"/>
    <w:rsid w:val="00CC6493"/>
    <w:rsid w:val="00CD055F"/>
    <w:rsid w:val="00CD0813"/>
    <w:rsid w:val="00CD23A2"/>
    <w:rsid w:val="00CE5CBB"/>
    <w:rsid w:val="00CE7B87"/>
    <w:rsid w:val="00CF0140"/>
    <w:rsid w:val="00CF2F8E"/>
    <w:rsid w:val="00CF385D"/>
    <w:rsid w:val="00CF50F5"/>
    <w:rsid w:val="00CF6284"/>
    <w:rsid w:val="00CF7570"/>
    <w:rsid w:val="00D003E5"/>
    <w:rsid w:val="00D07463"/>
    <w:rsid w:val="00D14AAD"/>
    <w:rsid w:val="00D14D36"/>
    <w:rsid w:val="00D1669D"/>
    <w:rsid w:val="00D2105A"/>
    <w:rsid w:val="00D21A1D"/>
    <w:rsid w:val="00D21ADD"/>
    <w:rsid w:val="00D2201F"/>
    <w:rsid w:val="00D24F48"/>
    <w:rsid w:val="00D25140"/>
    <w:rsid w:val="00D25866"/>
    <w:rsid w:val="00D26601"/>
    <w:rsid w:val="00D30BBF"/>
    <w:rsid w:val="00D30D14"/>
    <w:rsid w:val="00D32789"/>
    <w:rsid w:val="00D346D2"/>
    <w:rsid w:val="00D34D6E"/>
    <w:rsid w:val="00D42798"/>
    <w:rsid w:val="00D4497D"/>
    <w:rsid w:val="00D51F22"/>
    <w:rsid w:val="00D529A6"/>
    <w:rsid w:val="00D56346"/>
    <w:rsid w:val="00D57FB6"/>
    <w:rsid w:val="00D610DD"/>
    <w:rsid w:val="00D62574"/>
    <w:rsid w:val="00D635B1"/>
    <w:rsid w:val="00D66362"/>
    <w:rsid w:val="00D66719"/>
    <w:rsid w:val="00D67139"/>
    <w:rsid w:val="00D679F1"/>
    <w:rsid w:val="00D70129"/>
    <w:rsid w:val="00D715B0"/>
    <w:rsid w:val="00D75DFC"/>
    <w:rsid w:val="00D75E56"/>
    <w:rsid w:val="00D7724E"/>
    <w:rsid w:val="00D80D02"/>
    <w:rsid w:val="00D823FE"/>
    <w:rsid w:val="00D83378"/>
    <w:rsid w:val="00D84441"/>
    <w:rsid w:val="00D8475B"/>
    <w:rsid w:val="00D8589A"/>
    <w:rsid w:val="00D87022"/>
    <w:rsid w:val="00D90D0F"/>
    <w:rsid w:val="00D90E6C"/>
    <w:rsid w:val="00D92756"/>
    <w:rsid w:val="00D946D8"/>
    <w:rsid w:val="00D973E6"/>
    <w:rsid w:val="00DA3008"/>
    <w:rsid w:val="00DA37AC"/>
    <w:rsid w:val="00DA3CC8"/>
    <w:rsid w:val="00DA3D86"/>
    <w:rsid w:val="00DA4683"/>
    <w:rsid w:val="00DA572F"/>
    <w:rsid w:val="00DA5EF6"/>
    <w:rsid w:val="00DA73D7"/>
    <w:rsid w:val="00DB13B7"/>
    <w:rsid w:val="00DB266A"/>
    <w:rsid w:val="00DB49B2"/>
    <w:rsid w:val="00DB4DDD"/>
    <w:rsid w:val="00DB5FEB"/>
    <w:rsid w:val="00DD1B98"/>
    <w:rsid w:val="00DD5360"/>
    <w:rsid w:val="00DD5E5E"/>
    <w:rsid w:val="00DD7E26"/>
    <w:rsid w:val="00DE1126"/>
    <w:rsid w:val="00DE225B"/>
    <w:rsid w:val="00DE3D99"/>
    <w:rsid w:val="00DE4810"/>
    <w:rsid w:val="00DE7186"/>
    <w:rsid w:val="00DE7325"/>
    <w:rsid w:val="00DE7972"/>
    <w:rsid w:val="00DF188B"/>
    <w:rsid w:val="00DF35DB"/>
    <w:rsid w:val="00DF532B"/>
    <w:rsid w:val="00DF6138"/>
    <w:rsid w:val="00DF6914"/>
    <w:rsid w:val="00DF6BED"/>
    <w:rsid w:val="00DF73B8"/>
    <w:rsid w:val="00E01F27"/>
    <w:rsid w:val="00E02752"/>
    <w:rsid w:val="00E03CE7"/>
    <w:rsid w:val="00E06C04"/>
    <w:rsid w:val="00E06C63"/>
    <w:rsid w:val="00E075A9"/>
    <w:rsid w:val="00E07F67"/>
    <w:rsid w:val="00E13168"/>
    <w:rsid w:val="00E15170"/>
    <w:rsid w:val="00E151F9"/>
    <w:rsid w:val="00E15EA7"/>
    <w:rsid w:val="00E250A2"/>
    <w:rsid w:val="00E25890"/>
    <w:rsid w:val="00E26268"/>
    <w:rsid w:val="00E279B6"/>
    <w:rsid w:val="00E31725"/>
    <w:rsid w:val="00E32B2A"/>
    <w:rsid w:val="00E33037"/>
    <w:rsid w:val="00E36104"/>
    <w:rsid w:val="00E366BB"/>
    <w:rsid w:val="00E36815"/>
    <w:rsid w:val="00E374DC"/>
    <w:rsid w:val="00E37928"/>
    <w:rsid w:val="00E4059B"/>
    <w:rsid w:val="00E42744"/>
    <w:rsid w:val="00E43AFC"/>
    <w:rsid w:val="00E44FBB"/>
    <w:rsid w:val="00E45F96"/>
    <w:rsid w:val="00E46AD5"/>
    <w:rsid w:val="00E4748C"/>
    <w:rsid w:val="00E47A47"/>
    <w:rsid w:val="00E50DF5"/>
    <w:rsid w:val="00E51AF3"/>
    <w:rsid w:val="00E537E1"/>
    <w:rsid w:val="00E53BE6"/>
    <w:rsid w:val="00E5665B"/>
    <w:rsid w:val="00E575C0"/>
    <w:rsid w:val="00E579AA"/>
    <w:rsid w:val="00E60320"/>
    <w:rsid w:val="00E63591"/>
    <w:rsid w:val="00E64630"/>
    <w:rsid w:val="00E6711E"/>
    <w:rsid w:val="00E70BE3"/>
    <w:rsid w:val="00E71A30"/>
    <w:rsid w:val="00E71EE8"/>
    <w:rsid w:val="00E75671"/>
    <w:rsid w:val="00E7612B"/>
    <w:rsid w:val="00E761A7"/>
    <w:rsid w:val="00E80084"/>
    <w:rsid w:val="00E80E10"/>
    <w:rsid w:val="00E82E76"/>
    <w:rsid w:val="00E83AAE"/>
    <w:rsid w:val="00E83DE3"/>
    <w:rsid w:val="00E8569E"/>
    <w:rsid w:val="00E90FFA"/>
    <w:rsid w:val="00E93175"/>
    <w:rsid w:val="00E94731"/>
    <w:rsid w:val="00E97FC2"/>
    <w:rsid w:val="00EA2757"/>
    <w:rsid w:val="00EA69F1"/>
    <w:rsid w:val="00EB097A"/>
    <w:rsid w:val="00EB0E2A"/>
    <w:rsid w:val="00EB1FCD"/>
    <w:rsid w:val="00EB73FC"/>
    <w:rsid w:val="00EC08B6"/>
    <w:rsid w:val="00EC2D00"/>
    <w:rsid w:val="00EC548B"/>
    <w:rsid w:val="00EC57FB"/>
    <w:rsid w:val="00EC64EE"/>
    <w:rsid w:val="00ED10F6"/>
    <w:rsid w:val="00ED1951"/>
    <w:rsid w:val="00ED21A9"/>
    <w:rsid w:val="00ED27EE"/>
    <w:rsid w:val="00ED5400"/>
    <w:rsid w:val="00ED602D"/>
    <w:rsid w:val="00ED6D27"/>
    <w:rsid w:val="00ED6E81"/>
    <w:rsid w:val="00ED7316"/>
    <w:rsid w:val="00EE3DD6"/>
    <w:rsid w:val="00EE627F"/>
    <w:rsid w:val="00EE65AD"/>
    <w:rsid w:val="00EF35F5"/>
    <w:rsid w:val="00EF3969"/>
    <w:rsid w:val="00EF4E72"/>
    <w:rsid w:val="00EF5DB7"/>
    <w:rsid w:val="00EF6E1B"/>
    <w:rsid w:val="00F00827"/>
    <w:rsid w:val="00F00CB3"/>
    <w:rsid w:val="00F00E16"/>
    <w:rsid w:val="00F00F07"/>
    <w:rsid w:val="00F0150B"/>
    <w:rsid w:val="00F01F99"/>
    <w:rsid w:val="00F02941"/>
    <w:rsid w:val="00F03BB6"/>
    <w:rsid w:val="00F0783D"/>
    <w:rsid w:val="00F103BE"/>
    <w:rsid w:val="00F12A08"/>
    <w:rsid w:val="00F17CB3"/>
    <w:rsid w:val="00F23059"/>
    <w:rsid w:val="00F27F5F"/>
    <w:rsid w:val="00F30ABF"/>
    <w:rsid w:val="00F31249"/>
    <w:rsid w:val="00F3205D"/>
    <w:rsid w:val="00F320C9"/>
    <w:rsid w:val="00F36CCB"/>
    <w:rsid w:val="00F413E2"/>
    <w:rsid w:val="00F42F04"/>
    <w:rsid w:val="00F45192"/>
    <w:rsid w:val="00F4537C"/>
    <w:rsid w:val="00F460DF"/>
    <w:rsid w:val="00F46DE7"/>
    <w:rsid w:val="00F5640B"/>
    <w:rsid w:val="00F577EE"/>
    <w:rsid w:val="00F57DB8"/>
    <w:rsid w:val="00F60477"/>
    <w:rsid w:val="00F608B4"/>
    <w:rsid w:val="00F60BB4"/>
    <w:rsid w:val="00F612F2"/>
    <w:rsid w:val="00F613C0"/>
    <w:rsid w:val="00F61F11"/>
    <w:rsid w:val="00F633EF"/>
    <w:rsid w:val="00F65991"/>
    <w:rsid w:val="00F65AFE"/>
    <w:rsid w:val="00F66590"/>
    <w:rsid w:val="00F67FC8"/>
    <w:rsid w:val="00F71087"/>
    <w:rsid w:val="00F717B6"/>
    <w:rsid w:val="00F71BB3"/>
    <w:rsid w:val="00F72AAD"/>
    <w:rsid w:val="00F74DFA"/>
    <w:rsid w:val="00F7761B"/>
    <w:rsid w:val="00F81A2A"/>
    <w:rsid w:val="00F840F0"/>
    <w:rsid w:val="00F87511"/>
    <w:rsid w:val="00F93EB3"/>
    <w:rsid w:val="00F9480F"/>
    <w:rsid w:val="00F95D98"/>
    <w:rsid w:val="00F967F1"/>
    <w:rsid w:val="00F96F03"/>
    <w:rsid w:val="00F97D7F"/>
    <w:rsid w:val="00FA0C80"/>
    <w:rsid w:val="00FA22CF"/>
    <w:rsid w:val="00FA2E7B"/>
    <w:rsid w:val="00FA4C33"/>
    <w:rsid w:val="00FA7E46"/>
    <w:rsid w:val="00FB0E40"/>
    <w:rsid w:val="00FB18BA"/>
    <w:rsid w:val="00FB18E4"/>
    <w:rsid w:val="00FB38BD"/>
    <w:rsid w:val="00FB38FA"/>
    <w:rsid w:val="00FB44BC"/>
    <w:rsid w:val="00FB4D1F"/>
    <w:rsid w:val="00FC05F5"/>
    <w:rsid w:val="00FC11DF"/>
    <w:rsid w:val="00FC1A55"/>
    <w:rsid w:val="00FC22DE"/>
    <w:rsid w:val="00FC2372"/>
    <w:rsid w:val="00FC3E77"/>
    <w:rsid w:val="00FC61BE"/>
    <w:rsid w:val="00FC61FB"/>
    <w:rsid w:val="00FC6466"/>
    <w:rsid w:val="00FD0617"/>
    <w:rsid w:val="00FD0E83"/>
    <w:rsid w:val="00FD1E65"/>
    <w:rsid w:val="00FD27DF"/>
    <w:rsid w:val="00FD46B9"/>
    <w:rsid w:val="00FD5810"/>
    <w:rsid w:val="00FD6514"/>
    <w:rsid w:val="00FD6FF3"/>
    <w:rsid w:val="00FE120A"/>
    <w:rsid w:val="00FE1D76"/>
    <w:rsid w:val="00FE2324"/>
    <w:rsid w:val="00FE2899"/>
    <w:rsid w:val="00FE2A55"/>
    <w:rsid w:val="00FE365C"/>
    <w:rsid w:val="00FE3A42"/>
    <w:rsid w:val="00FE3D74"/>
    <w:rsid w:val="00FE6317"/>
    <w:rsid w:val="00FE77C7"/>
    <w:rsid w:val="00FF02E2"/>
    <w:rsid w:val="00FF330A"/>
    <w:rsid w:val="00FF33CE"/>
    <w:rsid w:val="00FF3B26"/>
    <w:rsid w:val="00FF4E3F"/>
    <w:rsid w:val="00FF5259"/>
    <w:rsid w:val="00FF5FA7"/>
    <w:rsid w:val="00FF6A8D"/>
    <w:rsid w:val="00FF6DB1"/>
    <w:rsid w:val="00FF7A97"/>
    <w:rsid w:val="031C0BD4"/>
    <w:rsid w:val="03CE3369"/>
    <w:rsid w:val="04040162"/>
    <w:rsid w:val="04F97DDC"/>
    <w:rsid w:val="06AA6E47"/>
    <w:rsid w:val="06CF1595"/>
    <w:rsid w:val="0A0B0442"/>
    <w:rsid w:val="0B093DA9"/>
    <w:rsid w:val="0B715C84"/>
    <w:rsid w:val="130F24F1"/>
    <w:rsid w:val="185021AD"/>
    <w:rsid w:val="18F43ADA"/>
    <w:rsid w:val="204A4A7B"/>
    <w:rsid w:val="23BE0C75"/>
    <w:rsid w:val="26146B20"/>
    <w:rsid w:val="26C960B7"/>
    <w:rsid w:val="274A26BE"/>
    <w:rsid w:val="276E542C"/>
    <w:rsid w:val="2D420576"/>
    <w:rsid w:val="2DD646E7"/>
    <w:rsid w:val="30CC052A"/>
    <w:rsid w:val="335D00AD"/>
    <w:rsid w:val="35267233"/>
    <w:rsid w:val="365C2706"/>
    <w:rsid w:val="36847A19"/>
    <w:rsid w:val="397165E9"/>
    <w:rsid w:val="3C077A3E"/>
    <w:rsid w:val="3D5D505D"/>
    <w:rsid w:val="3D915FBA"/>
    <w:rsid w:val="4CFD3266"/>
    <w:rsid w:val="4EA32F4D"/>
    <w:rsid w:val="56B0561B"/>
    <w:rsid w:val="575E4CB8"/>
    <w:rsid w:val="57A20CC2"/>
    <w:rsid w:val="58EE4649"/>
    <w:rsid w:val="59B22542"/>
    <w:rsid w:val="5A7E7865"/>
    <w:rsid w:val="63BF456D"/>
    <w:rsid w:val="6BE424C3"/>
    <w:rsid w:val="6C0A33A2"/>
    <w:rsid w:val="6ECE439E"/>
    <w:rsid w:val="741E079C"/>
    <w:rsid w:val="766E6D59"/>
    <w:rsid w:val="779643B1"/>
    <w:rsid w:val="780C300D"/>
    <w:rsid w:val="79C840DC"/>
    <w:rsid w:val="7FD44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pPr>
    <w:rPr>
      <w:rFonts w:ascii="Times New Roman" w:hAnsi="Times New Roman" w:eastAsia="PMingLiU" w:cs="Times New Roman"/>
      <w:sz w:val="22"/>
      <w:lang w:val="en-GB" w:eastAsia="zh-CN" w:bidi="ar-SA"/>
    </w:rPr>
  </w:style>
  <w:style w:type="paragraph" w:styleId="2">
    <w:name w:val="heading 1"/>
    <w:next w:val="1"/>
    <w:link w:val="48"/>
    <w:qFormat/>
    <w:uiPriority w:val="0"/>
    <w:pPr>
      <w:keepNext/>
      <w:keepLines/>
      <w:numPr>
        <w:ilvl w:val="0"/>
        <w:numId w:val="1"/>
      </w:numPr>
      <w:pBdr>
        <w:top w:val="single" w:color="auto" w:sz="12" w:space="3"/>
      </w:pBdr>
      <w:overflowPunct w:val="0"/>
      <w:autoSpaceDE w:val="0"/>
      <w:autoSpaceDN w:val="0"/>
      <w:adjustRightInd w:val="0"/>
      <w:spacing w:before="240" w:after="180"/>
      <w:outlineLvl w:val="0"/>
    </w:pPr>
    <w:rPr>
      <w:rFonts w:ascii="Arial" w:hAnsi="Arial" w:eastAsia="Times New Roman" w:cs="Arial"/>
      <w:sz w:val="36"/>
      <w:szCs w:val="36"/>
      <w:lang w:val="en-GB" w:eastAsia="zh-CN" w:bidi="ar-SA"/>
    </w:rPr>
  </w:style>
  <w:style w:type="paragraph" w:styleId="3">
    <w:name w:val="heading 2"/>
    <w:basedOn w:val="2"/>
    <w:next w:val="1"/>
    <w:link w:val="66"/>
    <w:qFormat/>
    <w:uiPriority w:val="0"/>
    <w:pPr>
      <w:numPr>
        <w:numId w:val="0"/>
      </w:numPr>
      <w:pBdr>
        <w:top w:val="none" w:color="auto" w:sz="0" w:space="0"/>
      </w:pBdr>
      <w:spacing w:before="180"/>
      <w:outlineLvl w:val="1"/>
    </w:pPr>
    <w:rPr>
      <w:rFonts w:cs="Times New Roman"/>
      <w:sz w:val="32"/>
      <w:szCs w:val="32"/>
    </w:rPr>
  </w:style>
  <w:style w:type="paragraph" w:styleId="4">
    <w:name w:val="heading 3"/>
    <w:basedOn w:val="3"/>
    <w:next w:val="1"/>
    <w:link w:val="59"/>
    <w:qFormat/>
    <w:uiPriority w:val="0"/>
    <w:pPr>
      <w:numPr>
        <w:ilvl w:val="2"/>
        <w:numId w:val="1"/>
      </w:numPr>
      <w:spacing w:before="120"/>
      <w:outlineLvl w:val="2"/>
    </w:pPr>
    <w:rPr>
      <w:sz w:val="28"/>
      <w:szCs w:val="28"/>
    </w:rPr>
  </w:style>
  <w:style w:type="paragraph" w:styleId="5">
    <w:name w:val="heading 4"/>
    <w:basedOn w:val="4"/>
    <w:next w:val="1"/>
    <w:link w:val="54"/>
    <w:qFormat/>
    <w:uiPriority w:val="0"/>
    <w:pPr>
      <w:numPr>
        <w:ilvl w:val="3"/>
      </w:numPr>
      <w:outlineLvl w:val="3"/>
    </w:pPr>
    <w:rPr>
      <w:sz w:val="24"/>
      <w:szCs w:val="24"/>
    </w:rPr>
  </w:style>
  <w:style w:type="paragraph" w:styleId="6">
    <w:name w:val="heading 5"/>
    <w:basedOn w:val="5"/>
    <w:next w:val="1"/>
    <w:link w:val="51"/>
    <w:qFormat/>
    <w:uiPriority w:val="0"/>
    <w:pPr>
      <w:numPr>
        <w:ilvl w:val="4"/>
      </w:numPr>
      <w:outlineLvl w:val="4"/>
    </w:pPr>
    <w:rPr>
      <w:sz w:val="22"/>
      <w:szCs w:val="22"/>
    </w:rPr>
  </w:style>
  <w:style w:type="paragraph" w:styleId="7">
    <w:name w:val="heading 6"/>
    <w:basedOn w:val="1"/>
    <w:next w:val="1"/>
    <w:link w:val="63"/>
    <w:qFormat/>
    <w:uiPriority w:val="0"/>
    <w:pPr>
      <w:keepNext/>
      <w:keepLines/>
      <w:numPr>
        <w:ilvl w:val="5"/>
        <w:numId w:val="1"/>
      </w:numPr>
      <w:spacing w:before="120"/>
      <w:outlineLvl w:val="5"/>
    </w:pPr>
    <w:rPr>
      <w:rFonts w:ascii="Arial" w:hAnsi="Arial" w:eastAsia="Times New Roman" w:cs="Arial"/>
    </w:rPr>
  </w:style>
  <w:style w:type="paragraph" w:styleId="8">
    <w:name w:val="heading 7"/>
    <w:basedOn w:val="1"/>
    <w:next w:val="1"/>
    <w:link w:val="56"/>
    <w:qFormat/>
    <w:uiPriority w:val="0"/>
    <w:pPr>
      <w:keepNext/>
      <w:keepLines/>
      <w:numPr>
        <w:ilvl w:val="6"/>
        <w:numId w:val="1"/>
      </w:numPr>
      <w:spacing w:before="120"/>
      <w:outlineLvl w:val="6"/>
    </w:pPr>
    <w:rPr>
      <w:rFonts w:ascii="Arial" w:hAnsi="Arial" w:cs="Arial"/>
    </w:rPr>
  </w:style>
  <w:style w:type="paragraph" w:styleId="9">
    <w:name w:val="heading 8"/>
    <w:basedOn w:val="8"/>
    <w:next w:val="1"/>
    <w:link w:val="61"/>
    <w:qFormat/>
    <w:uiPriority w:val="0"/>
    <w:pPr>
      <w:numPr>
        <w:ilvl w:val="7"/>
      </w:numPr>
      <w:outlineLvl w:val="7"/>
    </w:pPr>
  </w:style>
  <w:style w:type="paragraph" w:styleId="10">
    <w:name w:val="heading 9"/>
    <w:basedOn w:val="9"/>
    <w:next w:val="1"/>
    <w:link w:val="47"/>
    <w:qFormat/>
    <w:uiPriority w:val="0"/>
    <w:pPr>
      <w:numPr>
        <w:ilvl w:val="8"/>
      </w:numPr>
      <w:outlineLvl w:val="8"/>
    </w:pPr>
  </w:style>
  <w:style w:type="character" w:default="1" w:styleId="19">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62"/>
    <w:unhideWhenUsed/>
    <w:qFormat/>
    <w:uiPriority w:val="99"/>
    <w:rPr>
      <w:b/>
      <w:bCs/>
    </w:rPr>
  </w:style>
  <w:style w:type="paragraph" w:styleId="12">
    <w:name w:val="annotation text"/>
    <w:basedOn w:val="1"/>
    <w:link w:val="50"/>
    <w:unhideWhenUsed/>
    <w:qFormat/>
    <w:uiPriority w:val="99"/>
    <w:pPr>
      <w:jc w:val="left"/>
    </w:pPr>
  </w:style>
  <w:style w:type="paragraph" w:styleId="13">
    <w:name w:val="Document Map"/>
    <w:basedOn w:val="1"/>
    <w:link w:val="65"/>
    <w:unhideWhenUsed/>
    <w:uiPriority w:val="99"/>
    <w:pPr>
      <w:spacing w:after="0"/>
    </w:pPr>
    <w:rPr>
      <w:rFonts w:ascii="宋体" w:eastAsia="宋体"/>
      <w:sz w:val="18"/>
      <w:szCs w:val="18"/>
    </w:rPr>
  </w:style>
  <w:style w:type="paragraph" w:styleId="14">
    <w:name w:val="List 2"/>
    <w:basedOn w:val="1"/>
    <w:unhideWhenUsed/>
    <w:qFormat/>
    <w:uiPriority w:val="99"/>
    <w:pPr>
      <w:ind w:left="720" w:hanging="360"/>
      <w:contextualSpacing/>
    </w:pPr>
  </w:style>
  <w:style w:type="paragraph" w:styleId="15">
    <w:name w:val="Balloon Text"/>
    <w:basedOn w:val="1"/>
    <w:link w:val="55"/>
    <w:unhideWhenUsed/>
    <w:uiPriority w:val="99"/>
    <w:pPr>
      <w:spacing w:after="0"/>
    </w:pPr>
    <w:rPr>
      <w:rFonts w:ascii="Cambria" w:hAnsi="Cambria" w:eastAsia="宋体"/>
      <w:sz w:val="18"/>
      <w:szCs w:val="18"/>
    </w:rPr>
  </w:style>
  <w:style w:type="paragraph" w:styleId="16">
    <w:name w:val="footer"/>
    <w:basedOn w:val="1"/>
    <w:link w:val="53"/>
    <w:unhideWhenUsed/>
    <w:qFormat/>
    <w:uiPriority w:val="99"/>
    <w:pPr>
      <w:tabs>
        <w:tab w:val="center" w:pos="4320"/>
        <w:tab w:val="right" w:pos="8640"/>
      </w:tabs>
      <w:spacing w:after="0"/>
    </w:pPr>
  </w:style>
  <w:style w:type="paragraph" w:styleId="17">
    <w:name w:val="header"/>
    <w:basedOn w:val="1"/>
    <w:link w:val="58"/>
    <w:unhideWhenUsed/>
    <w:uiPriority w:val="99"/>
    <w:pPr>
      <w:tabs>
        <w:tab w:val="center" w:pos="4320"/>
        <w:tab w:val="right" w:pos="8640"/>
      </w:tabs>
      <w:spacing w:after="0"/>
    </w:pPr>
  </w:style>
  <w:style w:type="paragraph" w:styleId="18">
    <w:name w:val="List"/>
    <w:basedOn w:val="1"/>
    <w:unhideWhenUsed/>
    <w:qFormat/>
    <w:uiPriority w:val="99"/>
    <w:pPr>
      <w:ind w:left="360" w:hanging="360"/>
      <w:contextualSpacing/>
    </w:pPr>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4">
    <w:name w:val="TH"/>
    <w:basedOn w:val="1"/>
    <w:link w:val="57"/>
    <w:qFormat/>
    <w:uiPriority w:val="0"/>
    <w:pPr>
      <w:keepNext/>
      <w:keepLines/>
      <w:spacing w:before="60" w:after="180"/>
      <w:jc w:val="center"/>
      <w:textAlignment w:val="baseline"/>
    </w:pPr>
    <w:rPr>
      <w:rFonts w:ascii="Arial" w:hAnsi="Arial" w:eastAsia="Times New Roman"/>
      <w:b/>
      <w:bCs/>
      <w:sz w:val="20"/>
    </w:rPr>
  </w:style>
  <w:style w:type="paragraph" w:customStyle="1" w:styleId="25">
    <w:name w:val="TAC"/>
    <w:basedOn w:val="1"/>
    <w:link w:val="60"/>
    <w:qFormat/>
    <w:uiPriority w:val="0"/>
    <w:pPr>
      <w:keepNext/>
      <w:keepLines/>
      <w:spacing w:after="0"/>
      <w:jc w:val="center"/>
      <w:textAlignment w:val="baseline"/>
    </w:pPr>
    <w:rPr>
      <w:rFonts w:ascii="Arial" w:hAnsi="Arial" w:eastAsia="Times New Roman"/>
      <w:sz w:val="18"/>
      <w:szCs w:val="18"/>
    </w:rPr>
  </w:style>
  <w:style w:type="paragraph" w:customStyle="1" w:styleId="26">
    <w:name w:val="TAH"/>
    <w:basedOn w:val="25"/>
    <w:link w:val="64"/>
    <w:uiPriority w:val="0"/>
    <w:rPr>
      <w:b/>
      <w:bCs/>
    </w:rPr>
  </w:style>
  <w:style w:type="paragraph" w:customStyle="1" w:styleId="27">
    <w:name w:val="TAL"/>
    <w:basedOn w:val="1"/>
    <w:link w:val="49"/>
    <w:qFormat/>
    <w:uiPriority w:val="0"/>
    <w:pPr>
      <w:keepNext/>
      <w:overflowPunct/>
      <w:autoSpaceDE/>
      <w:autoSpaceDN/>
      <w:adjustRightInd/>
      <w:spacing w:after="0"/>
      <w:jc w:val="left"/>
    </w:pPr>
    <w:rPr>
      <w:rFonts w:ascii="Arial" w:hAnsi="Arial" w:eastAsia="宋体" w:cs="Arial"/>
      <w:sz w:val="20"/>
      <w:lang w:val="en-US" w:eastAsia="zh-TW"/>
    </w:rPr>
  </w:style>
  <w:style w:type="paragraph" w:customStyle="1" w:styleId="28">
    <w:name w:val="Reference"/>
    <w:basedOn w:val="1"/>
    <w:qFormat/>
    <w:uiPriority w:val="0"/>
    <w:pPr>
      <w:numPr>
        <w:ilvl w:val="0"/>
        <w:numId w:val="2"/>
      </w:numPr>
    </w:pPr>
  </w:style>
  <w:style w:type="paragraph" w:customStyle="1" w:styleId="29">
    <w:name w:val="3GPP_Header + Arial"/>
    <w:basedOn w:val="1"/>
    <w:qFormat/>
    <w:uiPriority w:val="0"/>
    <w:pPr>
      <w:overflowPunct/>
      <w:autoSpaceDE/>
      <w:autoSpaceDN/>
      <w:adjustRightInd/>
      <w:spacing w:after="0"/>
      <w:jc w:val="left"/>
    </w:pPr>
    <w:rPr>
      <w:rFonts w:ascii="Arial" w:hAnsi="Arial" w:cs="Arial"/>
      <w:szCs w:val="24"/>
      <w:lang w:val="en-US"/>
    </w:rPr>
  </w:style>
  <w:style w:type="paragraph" w:customStyle="1" w:styleId="30">
    <w:name w:val="3GPP_Header"/>
    <w:basedOn w:val="1"/>
    <w:qFormat/>
    <w:uiPriority w:val="0"/>
    <w:pPr>
      <w:tabs>
        <w:tab w:val="left" w:pos="1701"/>
        <w:tab w:val="right" w:pos="9639"/>
      </w:tabs>
      <w:spacing w:after="240"/>
    </w:pPr>
    <w:rPr>
      <w:b/>
      <w:sz w:val="24"/>
    </w:rPr>
  </w:style>
  <w:style w:type="paragraph" w:customStyle="1" w:styleId="31">
    <w:name w:val="Comments"/>
    <w:basedOn w:val="1"/>
    <w:link w:val="72"/>
    <w:qFormat/>
    <w:uiPriority w:val="0"/>
    <w:pPr>
      <w:overflowPunct/>
      <w:autoSpaceDE/>
      <w:autoSpaceDN/>
      <w:adjustRightInd/>
      <w:spacing w:before="40" w:after="0"/>
      <w:jc w:val="left"/>
    </w:pPr>
    <w:rPr>
      <w:rFonts w:ascii="Arial" w:hAnsi="Arial" w:eastAsia="MS Mincho"/>
      <w:i/>
      <w:sz w:val="18"/>
      <w:szCs w:val="24"/>
      <w:lang w:eastAsia="en-GB"/>
    </w:rPr>
  </w:style>
  <w:style w:type="paragraph" w:customStyle="1" w:styleId="32">
    <w:name w:val="Doc-text2"/>
    <w:basedOn w:val="1"/>
    <w:link w:val="67"/>
    <w:qFormat/>
    <w:uiPriority w:val="0"/>
    <w:pPr>
      <w:tabs>
        <w:tab w:val="left" w:pos="1622"/>
      </w:tabs>
      <w:overflowPunct/>
      <w:autoSpaceDE/>
      <w:autoSpaceDN/>
      <w:adjustRightInd/>
      <w:spacing w:after="0"/>
      <w:ind w:left="1622" w:hanging="363"/>
      <w:jc w:val="left"/>
    </w:pPr>
    <w:rPr>
      <w:rFonts w:ascii="Arial" w:hAnsi="Arial" w:eastAsia="MS Mincho"/>
      <w:sz w:val="20"/>
      <w:szCs w:val="24"/>
      <w:lang w:eastAsia="en-GB"/>
    </w:rPr>
  </w:style>
  <w:style w:type="paragraph" w:customStyle="1" w:styleId="33">
    <w:name w:val="B1"/>
    <w:basedOn w:val="18"/>
    <w:link w:val="69"/>
    <w:qFormat/>
    <w:uiPriority w:val="0"/>
    <w:pPr>
      <w:overflowPunct/>
      <w:autoSpaceDE/>
      <w:autoSpaceDN/>
      <w:adjustRightInd/>
      <w:spacing w:after="180"/>
      <w:ind w:left="568" w:hanging="284"/>
      <w:jc w:val="left"/>
    </w:pPr>
    <w:rPr>
      <w:rFonts w:eastAsia="Malgun Gothic"/>
      <w:sz w:val="20"/>
      <w:lang w:eastAsia="en-US"/>
    </w:rPr>
  </w:style>
  <w:style w:type="paragraph" w:customStyle="1" w:styleId="34">
    <w:name w:val="TAN"/>
    <w:basedOn w:val="1"/>
    <w:link w:val="46"/>
    <w:qFormat/>
    <w:uiPriority w:val="0"/>
    <w:pPr>
      <w:keepNext/>
      <w:keepLines/>
      <w:spacing w:after="0"/>
      <w:ind w:left="851" w:hanging="851"/>
      <w:jc w:val="left"/>
      <w:textAlignment w:val="baseline"/>
    </w:pPr>
    <w:rPr>
      <w:rFonts w:ascii="Arial" w:hAnsi="Arial" w:eastAsia="Times New Roman"/>
      <w:sz w:val="18"/>
      <w:szCs w:val="18"/>
    </w:rPr>
  </w:style>
  <w:style w:type="paragraph" w:customStyle="1" w:styleId="35">
    <w:name w:val="NO"/>
    <w:basedOn w:val="1"/>
    <w:link w:val="74"/>
    <w:qFormat/>
    <w:uiPriority w:val="0"/>
    <w:pPr>
      <w:keepLines/>
      <w:overflowPunct/>
      <w:autoSpaceDE/>
      <w:autoSpaceDN/>
      <w:adjustRightInd/>
      <w:spacing w:after="180"/>
      <w:ind w:left="1135" w:hanging="851"/>
      <w:jc w:val="left"/>
    </w:pPr>
    <w:rPr>
      <w:rFonts w:eastAsia="Malgun Gothic"/>
      <w:sz w:val="20"/>
      <w:lang w:eastAsia="en-US"/>
    </w:rPr>
  </w:style>
  <w:style w:type="paragraph" w:customStyle="1" w:styleId="36">
    <w:name w:val="Doc-title"/>
    <w:basedOn w:val="1"/>
    <w:next w:val="32"/>
    <w:link w:val="68"/>
    <w:qFormat/>
    <w:uiPriority w:val="0"/>
    <w:pPr>
      <w:overflowPunct/>
      <w:autoSpaceDE/>
      <w:autoSpaceDN/>
      <w:adjustRightInd/>
      <w:spacing w:before="60" w:after="0"/>
      <w:ind w:left="1259" w:hanging="1259"/>
      <w:jc w:val="left"/>
    </w:pPr>
    <w:rPr>
      <w:rFonts w:ascii="Arial" w:hAnsi="Arial" w:eastAsia="MS Mincho"/>
      <w:sz w:val="20"/>
      <w:szCs w:val="24"/>
      <w:lang w:eastAsia="en-GB"/>
    </w:rPr>
  </w:style>
  <w:style w:type="paragraph" w:customStyle="1" w:styleId="37">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38">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B2"/>
    <w:basedOn w:val="14"/>
    <w:link w:val="70"/>
    <w:qFormat/>
    <w:uiPriority w:val="0"/>
    <w:pPr>
      <w:overflowPunct/>
      <w:autoSpaceDE/>
      <w:autoSpaceDN/>
      <w:adjustRightInd/>
      <w:spacing w:after="180"/>
      <w:ind w:left="851" w:hanging="284"/>
      <w:jc w:val="left"/>
    </w:pPr>
    <w:rPr>
      <w:rFonts w:eastAsia="Malgun Gothic"/>
      <w:sz w:val="20"/>
      <w:lang w:eastAsia="en-US"/>
    </w:rPr>
  </w:style>
  <w:style w:type="paragraph" w:customStyle="1" w:styleId="40">
    <w:name w:val="列出段落1"/>
    <w:basedOn w:val="1"/>
    <w:qFormat/>
    <w:uiPriority w:val="34"/>
    <w:pPr>
      <w:widowControl w:val="0"/>
      <w:overflowPunct/>
      <w:autoSpaceDE/>
      <w:autoSpaceDN/>
      <w:adjustRightInd/>
      <w:spacing w:after="0"/>
      <w:ind w:firstLine="420" w:firstLineChars="200"/>
    </w:pPr>
    <w:rPr>
      <w:rFonts w:ascii="Calibri" w:hAnsi="Calibri" w:eastAsia="宋体"/>
      <w:kern w:val="2"/>
      <w:sz w:val="21"/>
      <w:szCs w:val="22"/>
      <w:lang w:val="en-US"/>
    </w:rPr>
  </w:style>
  <w:style w:type="paragraph" w:customStyle="1" w:styleId="41">
    <w:name w:val="Editor's Note"/>
    <w:basedOn w:val="35"/>
    <w:qFormat/>
    <w:uiPriority w:val="0"/>
    <w:pPr>
      <w:overflowPunct w:val="0"/>
      <w:autoSpaceDE w:val="0"/>
      <w:autoSpaceDN w:val="0"/>
      <w:adjustRightInd w:val="0"/>
      <w:textAlignment w:val="baseline"/>
    </w:pPr>
    <w:rPr>
      <w:rFonts w:eastAsia="Times New Roman"/>
      <w:color w:val="FF0000"/>
    </w:rPr>
  </w:style>
  <w:style w:type="paragraph" w:customStyle="1" w:styleId="42">
    <w:name w:val="Default"/>
    <w:qFormat/>
    <w:uiPriority w:val="0"/>
    <w:pPr>
      <w:autoSpaceDE w:val="0"/>
      <w:autoSpaceDN w:val="0"/>
      <w:adjustRightInd w:val="0"/>
    </w:pPr>
    <w:rPr>
      <w:rFonts w:ascii="Cambria" w:hAnsi="Cambria" w:eastAsia="宋体" w:cs="Cambria"/>
      <w:color w:val="000000"/>
      <w:sz w:val="24"/>
      <w:szCs w:val="24"/>
      <w:lang w:val="en-US" w:eastAsia="zh-TW" w:bidi="ar-SA"/>
    </w:rPr>
  </w:style>
  <w:style w:type="paragraph" w:styleId="43">
    <w:name w:val="List Paragraph"/>
    <w:basedOn w:val="1"/>
    <w:qFormat/>
    <w:uiPriority w:val="34"/>
    <w:pPr>
      <w:overflowPunct/>
      <w:autoSpaceDE/>
      <w:autoSpaceDN/>
      <w:adjustRightInd/>
      <w:spacing w:after="0"/>
      <w:ind w:left="720"/>
      <w:jc w:val="left"/>
    </w:pPr>
    <w:rPr>
      <w:rFonts w:ascii="Calibri" w:hAnsi="Calibri" w:eastAsia="宋体" w:cs="宋体"/>
      <w:szCs w:val="22"/>
      <w:lang w:val="en-US"/>
    </w:rPr>
  </w:style>
  <w:style w:type="paragraph" w:customStyle="1" w:styleId="44">
    <w:name w:val="TF"/>
    <w:basedOn w:val="24"/>
    <w:link w:val="73"/>
    <w:qFormat/>
    <w:uiPriority w:val="0"/>
    <w:pPr>
      <w:keepNext w:val="0"/>
      <w:spacing w:before="0" w:after="240"/>
    </w:pPr>
    <w:rPr>
      <w:bCs w:val="0"/>
      <w:lang w:eastAsia="en-GB"/>
    </w:rPr>
  </w:style>
  <w:style w:type="paragraph" w:customStyle="1" w:styleId="45">
    <w:name w:val="B3"/>
    <w:basedOn w:val="1"/>
    <w:link w:val="77"/>
    <w:qFormat/>
    <w:uiPriority w:val="0"/>
    <w:pPr>
      <w:overflowPunct/>
      <w:autoSpaceDE/>
      <w:autoSpaceDN/>
      <w:adjustRightInd/>
      <w:spacing w:after="180"/>
      <w:ind w:left="1135" w:hanging="284"/>
      <w:jc w:val="left"/>
    </w:pPr>
    <w:rPr>
      <w:rFonts w:eastAsia="等线"/>
      <w:sz w:val="20"/>
      <w:lang w:eastAsia="en-US"/>
    </w:rPr>
  </w:style>
  <w:style w:type="character" w:customStyle="1" w:styleId="46">
    <w:name w:val="TAN Char"/>
    <w:link w:val="34"/>
    <w:qFormat/>
    <w:uiPriority w:val="0"/>
    <w:rPr>
      <w:rFonts w:ascii="Arial" w:hAnsi="Arial" w:eastAsia="Times New Roman"/>
      <w:sz w:val="18"/>
      <w:szCs w:val="18"/>
      <w:lang w:val="en-GB"/>
    </w:rPr>
  </w:style>
  <w:style w:type="character" w:customStyle="1" w:styleId="47">
    <w:name w:val="标题 9 Char"/>
    <w:link w:val="10"/>
    <w:semiHidden/>
    <w:qFormat/>
    <w:uiPriority w:val="0"/>
    <w:rPr>
      <w:rFonts w:ascii="Arial" w:hAnsi="Arial" w:eastAsia="PMingLiU" w:cs="Arial"/>
      <w:sz w:val="22"/>
      <w:lang w:val="en-GB" w:eastAsia="zh-CN"/>
    </w:rPr>
  </w:style>
  <w:style w:type="character" w:customStyle="1" w:styleId="48">
    <w:name w:val="标题 1 Char"/>
    <w:link w:val="2"/>
    <w:qFormat/>
    <w:uiPriority w:val="0"/>
    <w:rPr>
      <w:rFonts w:ascii="Arial" w:hAnsi="Arial" w:eastAsia="Times New Roman" w:cs="Arial"/>
      <w:sz w:val="36"/>
      <w:szCs w:val="36"/>
      <w:lang w:val="en-GB" w:eastAsia="zh-CN" w:bidi="ar-SA"/>
    </w:rPr>
  </w:style>
  <w:style w:type="character" w:customStyle="1" w:styleId="49">
    <w:name w:val="TAL Car"/>
    <w:link w:val="27"/>
    <w:qFormat/>
    <w:locked/>
    <w:uiPriority w:val="0"/>
    <w:rPr>
      <w:rFonts w:ascii="Arial" w:hAnsi="Arial" w:cs="Arial"/>
    </w:rPr>
  </w:style>
  <w:style w:type="character" w:customStyle="1" w:styleId="50">
    <w:name w:val="批注文字 Char"/>
    <w:link w:val="12"/>
    <w:semiHidden/>
    <w:qFormat/>
    <w:uiPriority w:val="99"/>
    <w:rPr>
      <w:rFonts w:ascii="Times New Roman" w:hAnsi="Times New Roman" w:eastAsia="PMingLiU"/>
      <w:sz w:val="22"/>
      <w:lang w:val="en-GB" w:eastAsia="zh-CN"/>
    </w:rPr>
  </w:style>
  <w:style w:type="character" w:customStyle="1" w:styleId="51">
    <w:name w:val="标题 5 Char"/>
    <w:link w:val="6"/>
    <w:semiHidden/>
    <w:qFormat/>
    <w:uiPriority w:val="0"/>
    <w:rPr>
      <w:rFonts w:ascii="Arial" w:hAnsi="Arial" w:eastAsia="Times New Roman"/>
      <w:sz w:val="22"/>
      <w:szCs w:val="22"/>
      <w:lang w:val="en-GB" w:eastAsia="zh-CN"/>
    </w:rPr>
  </w:style>
  <w:style w:type="character" w:customStyle="1" w:styleId="52">
    <w:name w:val="PL Char"/>
    <w:link w:val="37"/>
    <w:qFormat/>
    <w:uiPriority w:val="0"/>
    <w:rPr>
      <w:rFonts w:ascii="Courier New" w:hAnsi="Courier New" w:eastAsia="PMingLiU"/>
      <w:sz w:val="16"/>
      <w:lang w:val="en-GB" w:eastAsia="en-US" w:bidi="ar-SA"/>
    </w:rPr>
  </w:style>
  <w:style w:type="character" w:customStyle="1" w:styleId="53">
    <w:name w:val="页脚 Char"/>
    <w:link w:val="16"/>
    <w:semiHidden/>
    <w:qFormat/>
    <w:uiPriority w:val="99"/>
    <w:rPr>
      <w:rFonts w:ascii="Times New Roman" w:hAnsi="Times New Roman" w:eastAsia="PMingLiU" w:cs="Times New Roman"/>
      <w:szCs w:val="20"/>
      <w:lang w:val="en-GB"/>
    </w:rPr>
  </w:style>
  <w:style w:type="character" w:customStyle="1" w:styleId="54">
    <w:name w:val="标题 4 Char"/>
    <w:link w:val="5"/>
    <w:semiHidden/>
    <w:qFormat/>
    <w:uiPriority w:val="0"/>
    <w:rPr>
      <w:rFonts w:ascii="Arial" w:hAnsi="Arial" w:eastAsia="Times New Roman"/>
      <w:sz w:val="24"/>
      <w:szCs w:val="24"/>
      <w:lang w:val="en-GB" w:eastAsia="zh-CN"/>
    </w:rPr>
  </w:style>
  <w:style w:type="character" w:customStyle="1" w:styleId="55">
    <w:name w:val="批注框文本 Char"/>
    <w:link w:val="15"/>
    <w:semiHidden/>
    <w:qFormat/>
    <w:uiPriority w:val="99"/>
    <w:rPr>
      <w:rFonts w:ascii="Cambria" w:hAnsi="Cambria" w:eastAsia="宋体" w:cs="Times New Roman"/>
      <w:sz w:val="18"/>
      <w:szCs w:val="18"/>
      <w:lang w:val="en-GB" w:eastAsia="zh-CN"/>
    </w:rPr>
  </w:style>
  <w:style w:type="character" w:customStyle="1" w:styleId="56">
    <w:name w:val="标题 7 Char"/>
    <w:link w:val="8"/>
    <w:semiHidden/>
    <w:qFormat/>
    <w:uiPriority w:val="0"/>
    <w:rPr>
      <w:rFonts w:ascii="Arial" w:hAnsi="Arial" w:eastAsia="PMingLiU" w:cs="Arial"/>
      <w:sz w:val="22"/>
      <w:lang w:val="en-GB" w:eastAsia="zh-CN"/>
    </w:rPr>
  </w:style>
  <w:style w:type="character" w:customStyle="1" w:styleId="57">
    <w:name w:val="TH Char"/>
    <w:link w:val="24"/>
    <w:qFormat/>
    <w:uiPriority w:val="0"/>
    <w:rPr>
      <w:rFonts w:ascii="Arial" w:hAnsi="Arial" w:eastAsia="Times New Roman"/>
      <w:b/>
      <w:bCs/>
      <w:lang w:val="en-GB"/>
    </w:rPr>
  </w:style>
  <w:style w:type="character" w:customStyle="1" w:styleId="58">
    <w:name w:val="页眉 Char"/>
    <w:link w:val="17"/>
    <w:semiHidden/>
    <w:qFormat/>
    <w:uiPriority w:val="99"/>
    <w:rPr>
      <w:rFonts w:ascii="Times New Roman" w:hAnsi="Times New Roman" w:eastAsia="PMingLiU" w:cs="Times New Roman"/>
      <w:szCs w:val="20"/>
      <w:lang w:val="en-GB"/>
    </w:rPr>
  </w:style>
  <w:style w:type="character" w:customStyle="1" w:styleId="59">
    <w:name w:val="标题 3 Char"/>
    <w:link w:val="4"/>
    <w:qFormat/>
    <w:uiPriority w:val="0"/>
    <w:rPr>
      <w:rFonts w:ascii="Arial" w:hAnsi="Arial" w:eastAsia="Times New Roman"/>
      <w:sz w:val="28"/>
      <w:szCs w:val="28"/>
      <w:lang w:val="en-GB" w:eastAsia="zh-CN"/>
    </w:rPr>
  </w:style>
  <w:style w:type="character" w:customStyle="1" w:styleId="60">
    <w:name w:val="TAC Char"/>
    <w:link w:val="25"/>
    <w:qFormat/>
    <w:uiPriority w:val="0"/>
    <w:rPr>
      <w:rFonts w:ascii="Arial" w:hAnsi="Arial" w:eastAsia="Times New Roman"/>
      <w:sz w:val="18"/>
      <w:szCs w:val="18"/>
      <w:lang w:val="en-GB"/>
    </w:rPr>
  </w:style>
  <w:style w:type="character" w:customStyle="1" w:styleId="61">
    <w:name w:val="标题 8 Char"/>
    <w:link w:val="9"/>
    <w:semiHidden/>
    <w:qFormat/>
    <w:uiPriority w:val="0"/>
    <w:rPr>
      <w:rFonts w:ascii="Arial" w:hAnsi="Arial" w:eastAsia="PMingLiU" w:cs="Arial"/>
      <w:sz w:val="22"/>
      <w:lang w:val="en-GB" w:eastAsia="zh-CN"/>
    </w:rPr>
  </w:style>
  <w:style w:type="character" w:customStyle="1" w:styleId="62">
    <w:name w:val="批注主题 Char"/>
    <w:link w:val="11"/>
    <w:semiHidden/>
    <w:qFormat/>
    <w:uiPriority w:val="99"/>
    <w:rPr>
      <w:rFonts w:ascii="Times New Roman" w:hAnsi="Times New Roman" w:eastAsia="PMingLiU"/>
      <w:b/>
      <w:bCs/>
      <w:sz w:val="22"/>
      <w:lang w:val="en-GB" w:eastAsia="zh-CN"/>
    </w:rPr>
  </w:style>
  <w:style w:type="character" w:customStyle="1" w:styleId="63">
    <w:name w:val="标题 6 Char"/>
    <w:link w:val="7"/>
    <w:semiHidden/>
    <w:qFormat/>
    <w:uiPriority w:val="0"/>
    <w:rPr>
      <w:rFonts w:ascii="Arial" w:hAnsi="Arial" w:eastAsia="Times New Roman" w:cs="Arial"/>
      <w:sz w:val="22"/>
      <w:lang w:val="en-GB" w:eastAsia="zh-CN"/>
    </w:rPr>
  </w:style>
  <w:style w:type="character" w:customStyle="1" w:styleId="64">
    <w:name w:val="TAH Car"/>
    <w:link w:val="26"/>
    <w:qFormat/>
    <w:uiPriority w:val="0"/>
    <w:rPr>
      <w:rFonts w:ascii="Arial" w:hAnsi="Arial" w:eastAsia="Times New Roman"/>
      <w:b/>
      <w:bCs/>
      <w:sz w:val="18"/>
      <w:szCs w:val="18"/>
      <w:lang w:val="en-GB"/>
    </w:rPr>
  </w:style>
  <w:style w:type="character" w:customStyle="1" w:styleId="65">
    <w:name w:val="文档结构图 Char"/>
    <w:link w:val="13"/>
    <w:semiHidden/>
    <w:qFormat/>
    <w:uiPriority w:val="99"/>
    <w:rPr>
      <w:rFonts w:ascii="宋体" w:hAnsi="Times New Roman" w:eastAsia="宋体" w:cs="Times New Roman"/>
      <w:sz w:val="18"/>
      <w:szCs w:val="18"/>
      <w:lang w:val="en-GB"/>
    </w:rPr>
  </w:style>
  <w:style w:type="character" w:customStyle="1" w:styleId="66">
    <w:name w:val="标题 2 Char"/>
    <w:link w:val="3"/>
    <w:qFormat/>
    <w:uiPriority w:val="0"/>
    <w:rPr>
      <w:rFonts w:ascii="Arial" w:hAnsi="Arial" w:eastAsia="Times New Roman"/>
      <w:sz w:val="32"/>
      <w:szCs w:val="32"/>
      <w:lang w:val="en-GB" w:eastAsia="zh-CN"/>
    </w:rPr>
  </w:style>
  <w:style w:type="character" w:customStyle="1" w:styleId="67">
    <w:name w:val="Doc-text2 Char"/>
    <w:link w:val="32"/>
    <w:qFormat/>
    <w:uiPriority w:val="0"/>
    <w:rPr>
      <w:rFonts w:ascii="Arial" w:hAnsi="Arial" w:eastAsia="MS Mincho"/>
      <w:szCs w:val="24"/>
      <w:lang w:val="en-GB" w:eastAsia="en-GB"/>
    </w:rPr>
  </w:style>
  <w:style w:type="character" w:customStyle="1" w:styleId="68">
    <w:name w:val="Doc-title Char"/>
    <w:link w:val="36"/>
    <w:qFormat/>
    <w:uiPriority w:val="0"/>
    <w:rPr>
      <w:rFonts w:ascii="Arial" w:hAnsi="Arial" w:eastAsia="MS Mincho"/>
      <w:szCs w:val="24"/>
      <w:lang w:val="en-GB" w:eastAsia="en-GB"/>
    </w:rPr>
  </w:style>
  <w:style w:type="character" w:customStyle="1" w:styleId="69">
    <w:name w:val="B1 Char"/>
    <w:link w:val="33"/>
    <w:qFormat/>
    <w:uiPriority w:val="0"/>
    <w:rPr>
      <w:rFonts w:ascii="Times New Roman" w:hAnsi="Times New Roman" w:eastAsia="Malgun Gothic"/>
      <w:lang w:val="en-GB" w:eastAsia="en-US"/>
    </w:rPr>
  </w:style>
  <w:style w:type="character" w:customStyle="1" w:styleId="70">
    <w:name w:val="B2 Car"/>
    <w:link w:val="39"/>
    <w:qFormat/>
    <w:uiPriority w:val="0"/>
    <w:rPr>
      <w:rFonts w:ascii="Times New Roman" w:hAnsi="Times New Roman" w:eastAsia="Malgun Gothic"/>
      <w:lang w:val="en-GB" w:eastAsia="en-US"/>
    </w:rPr>
  </w:style>
  <w:style w:type="character" w:customStyle="1" w:styleId="71">
    <w:name w:val="B1 Zchn"/>
    <w:qFormat/>
    <w:uiPriority w:val="0"/>
    <w:rPr>
      <w:rFonts w:ascii="Arial" w:hAnsi="Arial" w:eastAsia="MS Mincho" w:cs="Arial"/>
      <w:color w:val="0000FF"/>
      <w:kern w:val="2"/>
      <w:lang w:val="en-GB" w:eastAsia="en-US" w:bidi="ar-SA"/>
    </w:rPr>
  </w:style>
  <w:style w:type="character" w:customStyle="1" w:styleId="72">
    <w:name w:val="Comments Char"/>
    <w:link w:val="31"/>
    <w:qFormat/>
    <w:uiPriority w:val="0"/>
    <w:rPr>
      <w:rFonts w:ascii="Arial" w:hAnsi="Arial" w:eastAsia="MS Mincho"/>
      <w:i/>
      <w:sz w:val="18"/>
      <w:szCs w:val="24"/>
      <w:lang w:val="en-GB" w:eastAsia="en-GB"/>
    </w:rPr>
  </w:style>
  <w:style w:type="character" w:customStyle="1" w:styleId="73">
    <w:name w:val="TF Char"/>
    <w:link w:val="44"/>
    <w:qFormat/>
    <w:uiPriority w:val="0"/>
    <w:rPr>
      <w:rFonts w:ascii="Arial" w:hAnsi="Arial" w:eastAsia="Times New Roman"/>
      <w:b/>
      <w:lang w:val="en-GB" w:eastAsia="en-GB"/>
    </w:rPr>
  </w:style>
  <w:style w:type="character" w:customStyle="1" w:styleId="74">
    <w:name w:val="NO Char"/>
    <w:link w:val="35"/>
    <w:qFormat/>
    <w:uiPriority w:val="0"/>
    <w:rPr>
      <w:rFonts w:ascii="Times New Roman" w:hAnsi="Times New Roman" w:eastAsia="Malgun Gothic"/>
      <w:lang w:val="en-GB" w:eastAsia="en-US"/>
    </w:rPr>
  </w:style>
  <w:style w:type="character" w:customStyle="1" w:styleId="75">
    <w:name w:val="B1 Char1"/>
    <w:qFormat/>
    <w:uiPriority w:val="0"/>
    <w:rPr>
      <w:lang w:val="en-GB" w:eastAsia="en-US"/>
    </w:rPr>
  </w:style>
  <w:style w:type="character" w:customStyle="1" w:styleId="76">
    <w:name w:val="B2 Char"/>
    <w:qFormat/>
    <w:uiPriority w:val="0"/>
    <w:rPr>
      <w:lang w:val="en-GB" w:eastAsia="en-US"/>
    </w:rPr>
  </w:style>
  <w:style w:type="character" w:customStyle="1" w:styleId="77">
    <w:name w:val="B3 Char2"/>
    <w:link w:val="45"/>
    <w:qFormat/>
    <w:uiPriority w:val="0"/>
    <w:rPr>
      <w:rFonts w:ascii="Times New Roman" w:hAnsi="Times New Roman" w:eastAsia="等线"/>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MediaTek Inc.</Company>
  <Pages>1</Pages>
  <Words>1460</Words>
  <Characters>8322</Characters>
  <Lines>69</Lines>
  <Paragraphs>19</Paragraphs>
  <ScaleCrop>false</ScaleCrop>
  <LinksUpToDate>false</LinksUpToDate>
  <CharactersWithSpaces>9763</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2016-09-25T06:53:00Z</dcterms:created>
  <dc:creator>MediaTek Inc.</dc:creator>
  <cp:lastModifiedBy>ZTE</cp:lastModifiedBy>
  <dcterms:modified xsi:type="dcterms:W3CDTF">2018-01-17T01:26:41Z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-1950276877</vt:r8>
  </property>
  <property fmtid="{D5CDD505-2E9C-101B-9397-08002B2CF9AE}" pid="3" name="_NewReviewCycle">
    <vt:lpwstr/>
  </property>
  <property fmtid="{D5CDD505-2E9C-101B-9397-08002B2CF9AE}" pid="4" name="_EmailSubject">
    <vt:lpwstr>Architecture for standalone NR and LTE-NR tight interworking</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PreviousAdHocReviewCycleID">
    <vt:r8>1780443863</vt:r8>
  </property>
  <property fmtid="{D5CDD505-2E9C-101B-9397-08002B2CF9AE}" pid="8" name="ma7d45d2182b49a8852f1a46c168973a">
    <vt:lpwstr/>
  </property>
  <property fmtid="{D5CDD505-2E9C-101B-9397-08002B2CF9AE}" pid="9" name="TaxCatchAll">
    <vt:lpwstr/>
  </property>
  <property fmtid="{D5CDD505-2E9C-101B-9397-08002B2CF9AE}" pid="10" name="o6c2a48b16e24d09b795349389dda484">
    <vt:lpwstr/>
  </property>
  <property fmtid="{D5CDD505-2E9C-101B-9397-08002B2CF9AE}" pid="11" name="Technical_x0020_Type">
    <vt:lpwstr/>
  </property>
  <property fmtid="{D5CDD505-2E9C-101B-9397-08002B2CF9AE}" pid="12" name="Document_x0020_Type">
    <vt:lpwstr/>
  </property>
  <property fmtid="{D5CDD505-2E9C-101B-9397-08002B2CF9AE}" pid="13" name="_ReviewingToolsShownOnce">
    <vt:lpwstr/>
  </property>
  <property fmtid="{D5CDD505-2E9C-101B-9397-08002B2CF9AE}" pid="14" name="KSOProductBuildVer">
    <vt:lpwstr>2052-10.1.0.7022</vt:lpwstr>
  </property>
</Properties>
</file>